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1F998" w14:textId="5E7D5346" w:rsidR="00042558" w:rsidRPr="00587071" w:rsidRDefault="00042558" w:rsidP="006E0719">
      <w:pPr>
        <w:spacing w:before="80"/>
        <w:ind w:firstLine="567"/>
        <w:jc w:val="center"/>
        <w:rPr>
          <w:b/>
          <w:sz w:val="28"/>
          <w:szCs w:val="28"/>
        </w:rPr>
      </w:pPr>
      <w:r w:rsidRPr="00587071">
        <w:rPr>
          <w:b/>
          <w:sz w:val="28"/>
          <w:szCs w:val="28"/>
        </w:rPr>
        <w:t>MỘT SỐ THÔNG TIN VỀ</w:t>
      </w:r>
    </w:p>
    <w:p w14:paraId="13510068" w14:textId="08F092BA" w:rsidR="00E35F4C" w:rsidRPr="00587071" w:rsidRDefault="00042558" w:rsidP="006E0719">
      <w:pPr>
        <w:spacing w:before="80"/>
        <w:ind w:firstLine="567"/>
        <w:jc w:val="center"/>
        <w:rPr>
          <w:b/>
          <w:sz w:val="28"/>
          <w:szCs w:val="28"/>
        </w:rPr>
      </w:pPr>
      <w:r w:rsidRPr="00587071">
        <w:rPr>
          <w:b/>
          <w:sz w:val="28"/>
          <w:szCs w:val="28"/>
        </w:rPr>
        <w:t>CHỦ ĐỀ NGÀY THẾ GIỚI KHÔNG THUỐC LÁ</w:t>
      </w:r>
    </w:p>
    <w:p w14:paraId="5028BD9B" w14:textId="6EA6AC64" w:rsidR="002B1395" w:rsidRPr="00587071" w:rsidRDefault="00042558" w:rsidP="006E0719">
      <w:pPr>
        <w:spacing w:before="80"/>
        <w:ind w:firstLine="567"/>
        <w:jc w:val="center"/>
        <w:rPr>
          <w:b/>
          <w:sz w:val="28"/>
          <w:szCs w:val="28"/>
        </w:rPr>
      </w:pPr>
      <w:r w:rsidRPr="00587071">
        <w:rPr>
          <w:b/>
          <w:sz w:val="28"/>
          <w:szCs w:val="28"/>
        </w:rPr>
        <w:t>31 THÁNG 5 NĂM 202</w:t>
      </w:r>
      <w:r w:rsidR="00A841BA" w:rsidRPr="00587071">
        <w:rPr>
          <w:b/>
          <w:sz w:val="28"/>
          <w:szCs w:val="28"/>
        </w:rPr>
        <w:t>6</w:t>
      </w:r>
      <w:r w:rsidR="00E35F4C" w:rsidRPr="00587071">
        <w:rPr>
          <w:b/>
          <w:sz w:val="28"/>
          <w:szCs w:val="28"/>
        </w:rPr>
        <w:t xml:space="preserve"> CỦA TỔ CHỨC Y TẾ THẾ GIỚI</w:t>
      </w:r>
    </w:p>
    <w:p w14:paraId="04852178" w14:textId="77777777" w:rsidR="00E321E2" w:rsidRDefault="00CA2AA8" w:rsidP="006E0719">
      <w:pPr>
        <w:spacing w:before="80"/>
        <w:ind w:firstLine="720"/>
        <w:jc w:val="center"/>
        <w:rPr>
          <w:b/>
          <w:i/>
          <w:iCs/>
          <w:sz w:val="28"/>
          <w:szCs w:val="28"/>
        </w:rPr>
      </w:pPr>
      <w:r w:rsidRPr="00587071">
        <w:rPr>
          <w:b/>
          <w:i/>
          <w:sz w:val="28"/>
          <w:szCs w:val="28"/>
        </w:rPr>
        <w:t>“</w:t>
      </w:r>
      <w:r w:rsidRPr="00587071">
        <w:rPr>
          <w:b/>
          <w:i/>
          <w:iCs/>
          <w:sz w:val="28"/>
          <w:szCs w:val="28"/>
        </w:rPr>
        <w:t xml:space="preserve">Vạch trần sự hấp dẫn giả tạo – </w:t>
      </w:r>
      <w:r w:rsidR="00760FB3" w:rsidRPr="00587071">
        <w:rPr>
          <w:b/>
          <w:i/>
          <w:iCs/>
          <w:sz w:val="28"/>
          <w:szCs w:val="28"/>
        </w:rPr>
        <w:t>Hành</w:t>
      </w:r>
      <w:r w:rsidR="006E0D2C">
        <w:rPr>
          <w:b/>
          <w:i/>
          <w:iCs/>
          <w:sz w:val="28"/>
          <w:szCs w:val="28"/>
          <w:lang w:val="vi-VN"/>
        </w:rPr>
        <w:t xml:space="preserve"> động để đ</w:t>
      </w:r>
      <w:r w:rsidR="006E0D2C">
        <w:rPr>
          <w:b/>
          <w:i/>
          <w:iCs/>
          <w:sz w:val="28"/>
          <w:szCs w:val="28"/>
        </w:rPr>
        <w:t>ẩ</w:t>
      </w:r>
      <w:r w:rsidR="00760FB3" w:rsidRPr="00587071">
        <w:rPr>
          <w:b/>
          <w:i/>
          <w:iCs/>
          <w:sz w:val="28"/>
          <w:szCs w:val="28"/>
          <w:lang w:val="vi-VN"/>
        </w:rPr>
        <w:t>y lùi</w:t>
      </w:r>
      <w:r w:rsidRPr="00587071">
        <w:rPr>
          <w:b/>
          <w:i/>
          <w:iCs/>
          <w:sz w:val="28"/>
          <w:szCs w:val="28"/>
        </w:rPr>
        <w:t xml:space="preserve"> </w:t>
      </w:r>
    </w:p>
    <w:p w14:paraId="1DEF1564" w14:textId="0261AD33" w:rsidR="00CA2AA8" w:rsidRPr="00587071" w:rsidRDefault="00760FB3" w:rsidP="006E0719">
      <w:pPr>
        <w:spacing w:before="80"/>
        <w:ind w:firstLine="720"/>
        <w:jc w:val="center"/>
        <w:rPr>
          <w:b/>
          <w:i/>
          <w:sz w:val="28"/>
          <w:szCs w:val="28"/>
        </w:rPr>
      </w:pPr>
      <w:r w:rsidRPr="00587071">
        <w:rPr>
          <w:b/>
          <w:i/>
          <w:iCs/>
          <w:sz w:val="28"/>
          <w:szCs w:val="28"/>
        </w:rPr>
        <w:t>nạn</w:t>
      </w:r>
      <w:r w:rsidR="00CA2AA8" w:rsidRPr="00587071">
        <w:rPr>
          <w:b/>
          <w:i/>
          <w:iCs/>
          <w:sz w:val="28"/>
          <w:szCs w:val="28"/>
        </w:rPr>
        <w:t xml:space="preserve"> nghiện nicotine và thuốc lá</w:t>
      </w:r>
      <w:r w:rsidR="00CA2AA8" w:rsidRPr="00587071">
        <w:rPr>
          <w:b/>
          <w:i/>
          <w:sz w:val="28"/>
          <w:szCs w:val="28"/>
        </w:rPr>
        <w:t>”</w:t>
      </w:r>
    </w:p>
    <w:p w14:paraId="0E321EC7" w14:textId="77777777" w:rsidR="003C533D" w:rsidRPr="00587071" w:rsidRDefault="003C533D" w:rsidP="006E0719">
      <w:pPr>
        <w:spacing w:before="80"/>
        <w:ind w:firstLine="567"/>
        <w:jc w:val="both"/>
        <w:rPr>
          <w:b/>
          <w:bCs/>
          <w:sz w:val="28"/>
          <w:szCs w:val="28"/>
        </w:rPr>
      </w:pPr>
    </w:p>
    <w:p w14:paraId="09D4FE96" w14:textId="0AC09D50" w:rsidR="007253A7" w:rsidRPr="00F83391" w:rsidRDefault="00F83391" w:rsidP="006E0719">
      <w:pPr>
        <w:spacing w:before="80"/>
        <w:ind w:firstLine="567"/>
        <w:jc w:val="both"/>
        <w:rPr>
          <w:b/>
          <w:bCs/>
          <w:sz w:val="28"/>
          <w:szCs w:val="28"/>
        </w:rPr>
      </w:pPr>
      <w:r>
        <w:rPr>
          <w:b/>
          <w:bCs/>
          <w:sz w:val="28"/>
          <w:szCs w:val="28"/>
        </w:rPr>
        <w:t>I</w:t>
      </w:r>
      <w:r w:rsidR="02A8ED90" w:rsidRPr="00587071">
        <w:rPr>
          <w:b/>
          <w:bCs/>
          <w:sz w:val="28"/>
          <w:szCs w:val="28"/>
        </w:rPr>
        <w:t>. Thông tin về chủ đề</w:t>
      </w:r>
      <w:r>
        <w:rPr>
          <w:b/>
          <w:bCs/>
          <w:sz w:val="28"/>
          <w:szCs w:val="28"/>
        </w:rPr>
        <w:t xml:space="preserve"> </w:t>
      </w:r>
      <w:r w:rsidRPr="00F83391">
        <w:rPr>
          <w:b/>
          <w:bCs/>
          <w:sz w:val="28"/>
          <w:szCs w:val="28"/>
        </w:rPr>
        <w:t xml:space="preserve">Ngày Thế giới </w:t>
      </w:r>
      <w:r>
        <w:rPr>
          <w:b/>
          <w:bCs/>
          <w:sz w:val="28"/>
          <w:szCs w:val="28"/>
        </w:rPr>
        <w:t>k</w:t>
      </w:r>
      <w:r w:rsidRPr="00F83391">
        <w:rPr>
          <w:b/>
          <w:bCs/>
          <w:sz w:val="28"/>
          <w:szCs w:val="28"/>
        </w:rPr>
        <w:t xml:space="preserve">hông </w:t>
      </w:r>
      <w:r>
        <w:rPr>
          <w:b/>
          <w:bCs/>
          <w:sz w:val="28"/>
          <w:szCs w:val="28"/>
        </w:rPr>
        <w:t>t</w:t>
      </w:r>
      <w:r w:rsidRPr="00F83391">
        <w:rPr>
          <w:b/>
          <w:bCs/>
          <w:sz w:val="28"/>
          <w:szCs w:val="28"/>
        </w:rPr>
        <w:t>huốc lá</w:t>
      </w:r>
    </w:p>
    <w:p w14:paraId="52E4EEB5" w14:textId="290604A5" w:rsidR="00096A8C" w:rsidRPr="00587071" w:rsidRDefault="007253A7" w:rsidP="006E0719">
      <w:pPr>
        <w:pStyle w:val="NormalWeb"/>
        <w:spacing w:before="80" w:beforeAutospacing="0" w:after="0" w:afterAutospacing="0"/>
        <w:ind w:firstLine="567"/>
        <w:jc w:val="both"/>
        <w:rPr>
          <w:sz w:val="28"/>
          <w:szCs w:val="28"/>
        </w:rPr>
      </w:pPr>
      <w:r w:rsidRPr="00587071">
        <w:rPr>
          <w:sz w:val="28"/>
          <w:szCs w:val="28"/>
        </w:rPr>
        <w:t xml:space="preserve">Chủ đề Ngày Thế giới Không Thuốc lá năm 2026 được Tổ chức Y tế Thế giới (WHO) xác định là </w:t>
      </w:r>
      <w:r w:rsidRPr="00587071">
        <w:rPr>
          <w:b/>
          <w:bCs/>
          <w:sz w:val="28"/>
          <w:szCs w:val="28"/>
        </w:rPr>
        <w:t>“</w:t>
      </w:r>
      <w:r w:rsidRPr="00587071">
        <w:rPr>
          <w:b/>
          <w:bCs/>
          <w:i/>
          <w:iCs/>
          <w:sz w:val="28"/>
          <w:szCs w:val="28"/>
        </w:rPr>
        <w:t xml:space="preserve">Vạch trần sự hấp dẫn giả tạo – </w:t>
      </w:r>
      <w:r w:rsidR="00760FB3" w:rsidRPr="00587071">
        <w:rPr>
          <w:b/>
          <w:bCs/>
          <w:i/>
          <w:iCs/>
          <w:sz w:val="28"/>
          <w:szCs w:val="28"/>
        </w:rPr>
        <w:t>Hành</w:t>
      </w:r>
      <w:r w:rsidR="006E0D2C">
        <w:rPr>
          <w:b/>
          <w:bCs/>
          <w:i/>
          <w:iCs/>
          <w:sz w:val="28"/>
          <w:szCs w:val="28"/>
          <w:lang w:val="vi-VN"/>
        </w:rPr>
        <w:t xml:space="preserve"> động để đ</w:t>
      </w:r>
      <w:r w:rsidR="006E0D2C">
        <w:rPr>
          <w:b/>
          <w:bCs/>
          <w:i/>
          <w:iCs/>
          <w:sz w:val="28"/>
          <w:szCs w:val="28"/>
        </w:rPr>
        <w:t>ẩ</w:t>
      </w:r>
      <w:r w:rsidR="00760FB3" w:rsidRPr="00587071">
        <w:rPr>
          <w:b/>
          <w:bCs/>
          <w:i/>
          <w:iCs/>
          <w:sz w:val="28"/>
          <w:szCs w:val="28"/>
          <w:lang w:val="vi-VN"/>
        </w:rPr>
        <w:t>y lùi</w:t>
      </w:r>
      <w:r w:rsidR="00760FB3" w:rsidRPr="00587071">
        <w:rPr>
          <w:b/>
          <w:bCs/>
          <w:i/>
          <w:iCs/>
          <w:sz w:val="28"/>
          <w:szCs w:val="28"/>
        </w:rPr>
        <w:t xml:space="preserve"> nạn nghiện nicotine và thuốc lá</w:t>
      </w:r>
      <w:r w:rsidR="00760FB3" w:rsidRPr="00587071">
        <w:rPr>
          <w:b/>
          <w:bCs/>
          <w:i/>
          <w:iCs/>
          <w:sz w:val="28"/>
          <w:szCs w:val="28"/>
          <w:lang w:val="vi-VN"/>
        </w:rPr>
        <w:t>”</w:t>
      </w:r>
      <w:r w:rsidRPr="00587071">
        <w:rPr>
          <w:bCs/>
          <w:i/>
          <w:iCs/>
          <w:sz w:val="28"/>
          <w:szCs w:val="28"/>
        </w:rPr>
        <w:t>.</w:t>
      </w:r>
      <w:r w:rsidR="004170C0">
        <w:rPr>
          <w:rStyle w:val="FootnoteReference"/>
          <w:sz w:val="28"/>
          <w:szCs w:val="28"/>
        </w:rPr>
        <w:footnoteReference w:id="1"/>
      </w:r>
      <w:r w:rsidRPr="00587071">
        <w:rPr>
          <w:sz w:val="28"/>
          <w:szCs w:val="28"/>
        </w:rPr>
        <w:t xml:space="preserve"> </w:t>
      </w:r>
      <w:r w:rsidR="00096A8C" w:rsidRPr="00587071">
        <w:rPr>
          <w:sz w:val="28"/>
          <w:szCs w:val="28"/>
        </w:rPr>
        <w:t>Chiến dịch nhằm phơi bày cách ngành công nghiệp thuốc lá lôi kéo một thế hệ người dùng mới, đặc biệt là trẻ em và thanh thiếu niên, đồng thời né tránh các biện pháp kiểm soát thuốc lá ngày càng chặt chẽ trên toàn cầu</w:t>
      </w:r>
      <w:r w:rsidR="006D54AD" w:rsidRPr="00587071">
        <w:rPr>
          <w:sz w:val="28"/>
          <w:szCs w:val="28"/>
        </w:rPr>
        <w:t>.</w:t>
      </w:r>
    </w:p>
    <w:p w14:paraId="702FFFE5" w14:textId="77777777" w:rsidR="00E96CC3" w:rsidRDefault="006D54AD" w:rsidP="006F4DDB">
      <w:pPr>
        <w:pStyle w:val="NormalWeb"/>
        <w:spacing w:before="80" w:beforeAutospacing="0" w:after="0" w:afterAutospacing="0"/>
        <w:ind w:firstLine="567"/>
        <w:jc w:val="both"/>
        <w:rPr>
          <w:sz w:val="28"/>
          <w:szCs w:val="28"/>
        </w:rPr>
      </w:pPr>
      <w:r w:rsidRPr="00587071">
        <w:rPr>
          <w:sz w:val="28"/>
          <w:szCs w:val="28"/>
        </w:rPr>
        <w:t xml:space="preserve">Sử dụng thuốc lá là yếu tố nguy cơ chính gây ra các bệnh không lây nhiễm như ung thư, tim mạch và đái tháo đường. </w:t>
      </w:r>
      <w:r w:rsidR="00FA4D4A">
        <w:rPr>
          <w:sz w:val="28"/>
          <w:szCs w:val="28"/>
        </w:rPr>
        <w:t xml:space="preserve">Sử dụng </w:t>
      </w:r>
      <w:r w:rsidR="00FA4D4A" w:rsidRPr="00DA1EEC">
        <w:rPr>
          <w:sz w:val="28"/>
          <w:szCs w:val="28"/>
        </w:rPr>
        <w:t>thuốc lá gây ra hơn 8 triệu ca tử vong mỗi năm</w:t>
      </w:r>
      <w:r w:rsidR="00FA4D4A">
        <w:rPr>
          <w:sz w:val="28"/>
          <w:szCs w:val="28"/>
        </w:rPr>
        <w:t xml:space="preserve"> trên toàn thế giới</w:t>
      </w:r>
      <w:r w:rsidR="00FA4D4A" w:rsidRPr="00DA1EEC">
        <w:rPr>
          <w:sz w:val="28"/>
          <w:szCs w:val="28"/>
        </w:rPr>
        <w:t xml:space="preserve">, trong đó có khoảng 1,6 triệu </w:t>
      </w:r>
      <w:r w:rsidR="00FA4D4A">
        <w:rPr>
          <w:sz w:val="28"/>
          <w:szCs w:val="28"/>
        </w:rPr>
        <w:t>ca</w:t>
      </w:r>
      <w:r w:rsidR="00FA4D4A" w:rsidRPr="00DA1EEC">
        <w:rPr>
          <w:sz w:val="28"/>
          <w:szCs w:val="28"/>
        </w:rPr>
        <w:t xml:space="preserve"> tử vong do </w:t>
      </w:r>
      <w:r w:rsidR="00FA4D4A">
        <w:rPr>
          <w:sz w:val="28"/>
          <w:szCs w:val="28"/>
        </w:rPr>
        <w:t>các bệnh liên quan đến hút thuốc</w:t>
      </w:r>
      <w:r w:rsidR="00FA4D4A" w:rsidRPr="00DA1EEC">
        <w:rPr>
          <w:sz w:val="28"/>
          <w:szCs w:val="28"/>
        </w:rPr>
        <w:t xml:space="preserve"> thụ động</w:t>
      </w:r>
      <w:r w:rsidRPr="00587071">
        <w:rPr>
          <w:sz w:val="28"/>
          <w:szCs w:val="28"/>
        </w:rPr>
        <w:t xml:space="preserve">. Đặc biệt, khu vực Đông Nam Á đang đối mặt với cuộc khủng hoảng nghiêm trọng khi thuốc lá cướp đi sinh mạng của khoảng 3,1 triệu người mỗi năm. </w:t>
      </w:r>
    </w:p>
    <w:p w14:paraId="156B7D59" w14:textId="4338AC1F" w:rsidR="006F4DDB" w:rsidRDefault="006D54AD" w:rsidP="006F4DDB">
      <w:pPr>
        <w:pStyle w:val="NormalWeb"/>
        <w:spacing w:before="80" w:beforeAutospacing="0" w:after="0" w:afterAutospacing="0"/>
        <w:ind w:firstLine="567"/>
        <w:jc w:val="both"/>
        <w:rPr>
          <w:sz w:val="28"/>
          <w:szCs w:val="28"/>
        </w:rPr>
      </w:pPr>
      <w:r w:rsidRPr="00587071">
        <w:rPr>
          <w:sz w:val="28"/>
          <w:szCs w:val="28"/>
        </w:rPr>
        <w:t>Trẻ em là đối tượng chịu tổn thương lớn nhất với khoảng 50% bị phơi nhiễm khói thuốc thụ động trên toàn cầu, dẫn đến hơn 65.000 ca tử vong trẻ em hằng năm.</w:t>
      </w:r>
      <w:r w:rsidR="004170C0">
        <w:rPr>
          <w:rStyle w:val="FootnoteReference"/>
          <w:sz w:val="28"/>
          <w:szCs w:val="28"/>
        </w:rPr>
        <w:footnoteReference w:id="2"/>
      </w:r>
      <w:r w:rsidR="00B52899" w:rsidRPr="00B52899">
        <w:rPr>
          <w:sz w:val="28"/>
          <w:szCs w:val="28"/>
          <w:vertAlign w:val="superscript"/>
        </w:rPr>
        <w:t>,</w:t>
      </w:r>
      <w:r w:rsidR="002C3910">
        <w:rPr>
          <w:rStyle w:val="FootnoteReference"/>
          <w:sz w:val="28"/>
          <w:szCs w:val="28"/>
        </w:rPr>
        <w:footnoteReference w:id="3"/>
      </w:r>
      <w:r w:rsidR="006F4DDB">
        <w:rPr>
          <w:sz w:val="28"/>
          <w:szCs w:val="28"/>
        </w:rPr>
        <w:t xml:space="preserve"> </w:t>
      </w:r>
      <w:r w:rsidR="006F4DDB" w:rsidRPr="00587071">
        <w:rPr>
          <w:sz w:val="28"/>
          <w:szCs w:val="28"/>
        </w:rPr>
        <w:t xml:space="preserve">Trên quy mô toàn cầu, hiện có ít nhất 40 triệu trẻ em từ 13–15 tuổi đang sử dụng các sản phẩm thuốc lá, trong đó 20 triệu em hút thuốc lá điếu và 15 triệu em sử dụng thuốc lá điện tử. Đáng chú ý, trẻ em có nguy cơ sử dụng thuốc lá điện tử </w:t>
      </w:r>
      <w:r w:rsidR="006F4DDB">
        <w:rPr>
          <w:sz w:val="28"/>
          <w:szCs w:val="28"/>
        </w:rPr>
        <w:t>cao gấp 9 lần so với người lớn</w:t>
      </w:r>
      <w:r w:rsidR="006F4DDB">
        <w:rPr>
          <w:rStyle w:val="FootnoteReference"/>
          <w:sz w:val="28"/>
          <w:szCs w:val="28"/>
        </w:rPr>
        <w:footnoteReference w:id="4"/>
      </w:r>
      <w:r w:rsidR="006F4DDB">
        <w:rPr>
          <w:sz w:val="28"/>
          <w:szCs w:val="28"/>
        </w:rPr>
        <w:t>.</w:t>
      </w:r>
    </w:p>
    <w:p w14:paraId="28B5A042" w14:textId="78BA12AD" w:rsidR="007528F6" w:rsidRPr="00587071" w:rsidRDefault="001A099B" w:rsidP="006E0719">
      <w:pPr>
        <w:spacing w:before="80"/>
        <w:ind w:firstLine="567"/>
        <w:jc w:val="both"/>
        <w:rPr>
          <w:sz w:val="28"/>
          <w:szCs w:val="28"/>
        </w:rPr>
      </w:pPr>
      <w:r>
        <w:rPr>
          <w:sz w:val="28"/>
          <w:szCs w:val="28"/>
        </w:rPr>
        <w:t>Theo Tổ chức Y tế T</w:t>
      </w:r>
      <w:r w:rsidR="007528F6" w:rsidRPr="00587071">
        <w:rPr>
          <w:sz w:val="28"/>
          <w:szCs w:val="28"/>
        </w:rPr>
        <w:t>hế giới</w:t>
      </w:r>
      <w:r w:rsidR="00991BAA" w:rsidRPr="00587071">
        <w:rPr>
          <w:sz w:val="28"/>
          <w:szCs w:val="28"/>
        </w:rPr>
        <w:t>:</w:t>
      </w:r>
      <w:r w:rsidR="007528F6" w:rsidRPr="00587071">
        <w:rPr>
          <w:sz w:val="28"/>
          <w:szCs w:val="28"/>
        </w:rPr>
        <w:t xml:space="preserve"> “Giới trẻ đang trở thành mục tiêu một cách có chủ đích của các tập đoàn thuốc lá trên thế giới. Hương vị hấp dẫn, bao bì bắt mắt và các hình thức tiếp thị gây hiểu lầm đang được sử dụng để khiến những sản phẩm gây nghiện và có hại trở nên hấp dẫn với giới trẻ”.</w:t>
      </w:r>
      <w:r w:rsidR="006E75D7" w:rsidRPr="00587071">
        <w:rPr>
          <w:sz w:val="28"/>
          <w:szCs w:val="28"/>
        </w:rPr>
        <w:t xml:space="preserve"> </w:t>
      </w:r>
    </w:p>
    <w:p w14:paraId="03C79D20" w14:textId="27081FB6" w:rsidR="003C533D" w:rsidRPr="00587071" w:rsidRDefault="003C533D" w:rsidP="006E0719">
      <w:pPr>
        <w:pStyle w:val="NormalWeb"/>
        <w:spacing w:before="80" w:beforeAutospacing="0" w:after="0" w:afterAutospacing="0"/>
        <w:ind w:firstLine="567"/>
        <w:jc w:val="both"/>
        <w:rPr>
          <w:sz w:val="28"/>
          <w:szCs w:val="28"/>
        </w:rPr>
      </w:pPr>
      <w:r w:rsidRPr="00587071">
        <w:rPr>
          <w:color w:val="000000" w:themeColor="text1"/>
          <w:sz w:val="28"/>
          <w:szCs w:val="28"/>
        </w:rPr>
        <w:t xml:space="preserve">WHO nhấn mạnh rằng các công ty thuốc lá </w:t>
      </w:r>
      <w:r w:rsidR="003F1A53" w:rsidRPr="00587071">
        <w:rPr>
          <w:color w:val="000000" w:themeColor="text1"/>
          <w:sz w:val="28"/>
          <w:szCs w:val="28"/>
        </w:rPr>
        <w:t xml:space="preserve">trên thế giới </w:t>
      </w:r>
      <w:r w:rsidRPr="00587071">
        <w:rPr>
          <w:color w:val="000000" w:themeColor="text1"/>
          <w:sz w:val="28"/>
          <w:szCs w:val="28"/>
        </w:rPr>
        <w:t xml:space="preserve">đang </w:t>
      </w:r>
      <w:r w:rsidRPr="00587071">
        <w:rPr>
          <w:sz w:val="28"/>
          <w:szCs w:val="28"/>
        </w:rPr>
        <w:t xml:space="preserve">lấy danh nghĩa “đổi mới sáng tạo” để đa dạng cách tiếp cận với nhiều nhóm đối tượng người dùng. Những “đổi mới sáng tạo” mà các công ty thuốc lá đang làm là </w:t>
      </w:r>
      <w:r w:rsidR="00536F6E" w:rsidRPr="00587071">
        <w:rPr>
          <w:sz w:val="28"/>
          <w:szCs w:val="28"/>
        </w:rPr>
        <w:t>quảng bá những sản phẩm nicotine mới như thuốc lá điện tử, túi nicotine và các thiết bị nicotine tổng hợp</w:t>
      </w:r>
      <w:r w:rsidR="00991BAA" w:rsidRPr="00587071">
        <w:rPr>
          <w:sz w:val="28"/>
          <w:szCs w:val="28"/>
        </w:rPr>
        <w:t xml:space="preserve">, </w:t>
      </w:r>
      <w:r w:rsidRPr="00587071">
        <w:rPr>
          <w:sz w:val="28"/>
          <w:szCs w:val="28"/>
        </w:rPr>
        <w:t>đa dạng hóa các sản phẩm gây nghiện</w:t>
      </w:r>
      <w:r w:rsidR="002C3910">
        <w:rPr>
          <w:rStyle w:val="FootnoteReference"/>
          <w:sz w:val="28"/>
          <w:szCs w:val="28"/>
        </w:rPr>
        <w:footnoteReference w:id="5"/>
      </w:r>
      <w:r w:rsidRPr="00587071">
        <w:rPr>
          <w:sz w:val="28"/>
          <w:szCs w:val="28"/>
        </w:rPr>
        <w:t xml:space="preserve">, </w:t>
      </w:r>
      <w:r w:rsidRPr="00587071">
        <w:rPr>
          <w:sz w:val="28"/>
          <w:szCs w:val="28"/>
          <w:lang w:val="vi"/>
        </w:rPr>
        <w:t xml:space="preserve">thay đổi thiết </w:t>
      </w:r>
      <w:r w:rsidRPr="00587071">
        <w:rPr>
          <w:sz w:val="28"/>
          <w:szCs w:val="28"/>
          <w:lang w:val="vi"/>
        </w:rPr>
        <w:lastRenderedPageBreak/>
        <w:t>kế bao bì để sản phẩm trông bắt mắt hơn</w:t>
      </w:r>
      <w:r w:rsidR="002C3910">
        <w:rPr>
          <w:rStyle w:val="FootnoteReference"/>
          <w:sz w:val="28"/>
          <w:szCs w:val="28"/>
        </w:rPr>
        <w:footnoteReference w:id="6"/>
      </w:r>
      <w:r w:rsidR="00991BAA" w:rsidRPr="00587071">
        <w:rPr>
          <w:sz w:val="28"/>
          <w:szCs w:val="28"/>
        </w:rPr>
        <w:t>;</w:t>
      </w:r>
      <w:r w:rsidR="003F1A53" w:rsidRPr="00587071">
        <w:rPr>
          <w:sz w:val="28"/>
          <w:szCs w:val="28"/>
        </w:rPr>
        <w:t xml:space="preserve"> </w:t>
      </w:r>
      <w:r w:rsidRPr="00587071">
        <w:rPr>
          <w:sz w:val="28"/>
          <w:szCs w:val="28"/>
        </w:rPr>
        <w:t xml:space="preserve">là những chiến thuật marketing và trưng bày sản phẩm khiến cho khách hàng dễ nhìn thấy hơn và dễ “nghiện” hơn </w:t>
      </w:r>
      <w:r w:rsidR="007E2C7A">
        <w:rPr>
          <w:rStyle w:val="FootnoteReference"/>
          <w:sz w:val="28"/>
          <w:szCs w:val="28"/>
        </w:rPr>
        <w:footnoteReference w:id="7"/>
      </w:r>
      <w:r w:rsidR="007E2C7A">
        <w:rPr>
          <w:sz w:val="28"/>
          <w:szCs w:val="28"/>
        </w:rPr>
        <w:t xml:space="preserve"> </w:t>
      </w:r>
      <w:r w:rsidRPr="00587071">
        <w:rPr>
          <w:sz w:val="28"/>
          <w:szCs w:val="28"/>
        </w:rPr>
        <w:t xml:space="preserve">bất chấp đó là trẻ em </w:t>
      </w:r>
      <w:r w:rsidR="007E2C7A">
        <w:rPr>
          <w:rStyle w:val="FootnoteReference"/>
          <w:sz w:val="28"/>
          <w:szCs w:val="28"/>
        </w:rPr>
        <w:footnoteReference w:id="8"/>
      </w:r>
      <w:r w:rsidR="00B52899">
        <w:rPr>
          <w:sz w:val="28"/>
          <w:szCs w:val="28"/>
        </w:rPr>
        <w:t xml:space="preserve"> </w:t>
      </w:r>
      <w:r w:rsidRPr="00587071">
        <w:rPr>
          <w:sz w:val="28"/>
          <w:szCs w:val="28"/>
        </w:rPr>
        <w:t>hay là thanh thiếu niên</w:t>
      </w:r>
      <w:r w:rsidR="007E2C7A">
        <w:rPr>
          <w:rStyle w:val="FootnoteReference"/>
          <w:sz w:val="28"/>
          <w:szCs w:val="28"/>
        </w:rPr>
        <w:footnoteReference w:id="9"/>
      </w:r>
      <w:r w:rsidRPr="00587071">
        <w:rPr>
          <w:sz w:val="28"/>
          <w:szCs w:val="28"/>
        </w:rPr>
        <w:t>. Hệ</w:t>
      </w:r>
      <w:r w:rsidRPr="00587071">
        <w:rPr>
          <w:sz w:val="28"/>
          <w:szCs w:val="28"/>
          <w:lang w:val="vi-VN"/>
        </w:rPr>
        <w:t xml:space="preserve"> </w:t>
      </w:r>
      <w:r w:rsidRPr="00587071">
        <w:rPr>
          <w:sz w:val="28"/>
          <w:szCs w:val="28"/>
        </w:rPr>
        <w:t>quả gây</w:t>
      </w:r>
      <w:r w:rsidRPr="00587071">
        <w:rPr>
          <w:sz w:val="28"/>
          <w:szCs w:val="28"/>
          <w:lang w:val="vi-VN"/>
        </w:rPr>
        <w:t xml:space="preserve"> ra</w:t>
      </w:r>
      <w:r w:rsidRPr="00587071">
        <w:rPr>
          <w:sz w:val="28"/>
          <w:szCs w:val="28"/>
        </w:rPr>
        <w:t xml:space="preserve"> </w:t>
      </w:r>
      <w:r w:rsidR="003F1A53" w:rsidRPr="00587071">
        <w:rPr>
          <w:sz w:val="28"/>
          <w:szCs w:val="28"/>
        </w:rPr>
        <w:t xml:space="preserve">là một </w:t>
      </w:r>
      <w:r w:rsidRPr="00587071">
        <w:rPr>
          <w:sz w:val="28"/>
          <w:szCs w:val="28"/>
        </w:rPr>
        <w:t xml:space="preserve">vòng luẩn quẩn nghiện ngập đe dọa làm mất đi những tiến bộ </w:t>
      </w:r>
      <w:r w:rsidR="00991BAA" w:rsidRPr="00587071">
        <w:rPr>
          <w:sz w:val="28"/>
          <w:szCs w:val="28"/>
        </w:rPr>
        <w:t xml:space="preserve">các quốc gia đã </w:t>
      </w:r>
      <w:r w:rsidRPr="00587071">
        <w:rPr>
          <w:sz w:val="28"/>
          <w:szCs w:val="28"/>
        </w:rPr>
        <w:t>đạt được trong nhiều năm qua trong việc kiểm soát thuốc lá</w:t>
      </w:r>
      <w:r w:rsidR="00B52899">
        <w:rPr>
          <w:rStyle w:val="FootnoteReference"/>
          <w:sz w:val="28"/>
          <w:szCs w:val="28"/>
        </w:rPr>
        <w:footnoteReference w:id="10"/>
      </w:r>
      <w:r w:rsidRPr="00587071">
        <w:rPr>
          <w:sz w:val="28"/>
          <w:szCs w:val="28"/>
        </w:rPr>
        <w:t xml:space="preserve">. Nhưng điều này chưa dừng lại khi vấn đề kiểm soát thuốc lá đã và đang được </w:t>
      </w:r>
      <w:r w:rsidR="003F1A53" w:rsidRPr="00587071">
        <w:rPr>
          <w:sz w:val="28"/>
          <w:szCs w:val="28"/>
        </w:rPr>
        <w:t>các tập đoàn</w:t>
      </w:r>
      <w:r w:rsidRPr="00587071">
        <w:rPr>
          <w:sz w:val="28"/>
          <w:szCs w:val="28"/>
        </w:rPr>
        <w:t xml:space="preserve"> thuốc lá</w:t>
      </w:r>
      <w:r w:rsidR="003F1A53" w:rsidRPr="00587071">
        <w:rPr>
          <w:sz w:val="28"/>
          <w:szCs w:val="28"/>
        </w:rPr>
        <w:t xml:space="preserve"> trên thế giới</w:t>
      </w:r>
      <w:r w:rsidRPr="00587071">
        <w:rPr>
          <w:sz w:val="28"/>
          <w:szCs w:val="28"/>
        </w:rPr>
        <w:t xml:space="preserve"> tiếp tục vận động để trì hoãn, làm suy yếu hoặc ngăn chặn các chính sách có thể gây </w:t>
      </w:r>
      <w:r w:rsidR="00935EC4">
        <w:rPr>
          <w:sz w:val="28"/>
          <w:szCs w:val="28"/>
        </w:rPr>
        <w:t>tổn hại đến lợi nhuận của ngành</w:t>
      </w:r>
      <w:r w:rsidR="00B52899">
        <w:rPr>
          <w:rStyle w:val="FootnoteReference"/>
          <w:sz w:val="28"/>
          <w:szCs w:val="28"/>
        </w:rPr>
        <w:footnoteReference w:id="11"/>
      </w:r>
      <w:r w:rsidR="00935EC4">
        <w:rPr>
          <w:sz w:val="28"/>
          <w:szCs w:val="28"/>
        </w:rPr>
        <w:t>.</w:t>
      </w:r>
    </w:p>
    <w:p w14:paraId="57E617F8" w14:textId="5C56CAC7" w:rsidR="000D3A78" w:rsidRPr="00587071" w:rsidRDefault="000D3A78" w:rsidP="006E0719">
      <w:pPr>
        <w:spacing w:before="80"/>
        <w:ind w:firstLine="567"/>
        <w:jc w:val="both"/>
        <w:rPr>
          <w:sz w:val="28"/>
          <w:szCs w:val="28"/>
        </w:rPr>
      </w:pPr>
      <w:r w:rsidRPr="00587071">
        <w:rPr>
          <w:sz w:val="28"/>
          <w:szCs w:val="28"/>
        </w:rPr>
        <w:t xml:space="preserve">Tiếp nối chủ đề chiến dịch truyền thông </w:t>
      </w:r>
      <w:r w:rsidR="00AE595D">
        <w:rPr>
          <w:sz w:val="28"/>
          <w:szCs w:val="28"/>
        </w:rPr>
        <w:t xml:space="preserve">năm 2025, chủ đề Ngày Thế giới </w:t>
      </w:r>
      <w:r w:rsidR="003C06F3">
        <w:rPr>
          <w:sz w:val="28"/>
          <w:szCs w:val="28"/>
        </w:rPr>
        <w:t>k</w:t>
      </w:r>
      <w:r w:rsidR="00AE595D">
        <w:rPr>
          <w:sz w:val="28"/>
          <w:szCs w:val="28"/>
        </w:rPr>
        <w:t xml:space="preserve">hông </w:t>
      </w:r>
      <w:r w:rsidR="003C06F3">
        <w:rPr>
          <w:sz w:val="28"/>
          <w:szCs w:val="28"/>
        </w:rPr>
        <w:t>t</w:t>
      </w:r>
      <w:r w:rsidRPr="00587071">
        <w:rPr>
          <w:sz w:val="28"/>
          <w:szCs w:val="28"/>
        </w:rPr>
        <w:t>huốc lá năm 2026 nhấn mạnh cam</w:t>
      </w:r>
      <w:r w:rsidR="00932F9D">
        <w:rPr>
          <w:sz w:val="28"/>
          <w:szCs w:val="28"/>
        </w:rPr>
        <w:t xml:space="preserve"> kết liên tục của Tổ chức Y tế T</w:t>
      </w:r>
      <w:r w:rsidRPr="00587071">
        <w:rPr>
          <w:sz w:val="28"/>
          <w:szCs w:val="28"/>
        </w:rPr>
        <w:t xml:space="preserve">hế giới trong việc vạch trần các chiến thuật của ngành công nghiệp thuốc lá, </w:t>
      </w:r>
      <w:r w:rsidR="00DF45BB">
        <w:rPr>
          <w:sz w:val="28"/>
          <w:szCs w:val="28"/>
        </w:rPr>
        <w:t>đẩy</w:t>
      </w:r>
      <w:r w:rsidRPr="00587071">
        <w:rPr>
          <w:sz w:val="28"/>
          <w:szCs w:val="28"/>
        </w:rPr>
        <w:t xml:space="preserve"> lùi nạn nghiện nicotine và thuốc lá và thúc đẩy </w:t>
      </w:r>
      <w:r w:rsidR="00C70949" w:rsidRPr="00587071">
        <w:rPr>
          <w:sz w:val="28"/>
          <w:szCs w:val="28"/>
        </w:rPr>
        <w:t xml:space="preserve">thực thi </w:t>
      </w:r>
      <w:r w:rsidRPr="00587071">
        <w:rPr>
          <w:sz w:val="28"/>
          <w:szCs w:val="28"/>
        </w:rPr>
        <w:t xml:space="preserve">chính sách nhằm bảo vệ thanh thiếu niên và cộng đồng. </w:t>
      </w:r>
    </w:p>
    <w:p w14:paraId="67E5DFCF" w14:textId="77777777" w:rsidR="00D13850" w:rsidRPr="00587071" w:rsidRDefault="00D13850" w:rsidP="006E0719">
      <w:pPr>
        <w:spacing w:before="80"/>
        <w:ind w:firstLine="567"/>
        <w:rPr>
          <w:sz w:val="28"/>
          <w:szCs w:val="28"/>
        </w:rPr>
      </w:pPr>
      <w:r w:rsidRPr="00587071">
        <w:rPr>
          <w:b/>
          <w:bCs/>
          <w:sz w:val="28"/>
          <w:szCs w:val="28"/>
        </w:rPr>
        <w:t>Chiến dịch năm 2026 nhằm mục tiêu:</w:t>
      </w:r>
    </w:p>
    <w:p w14:paraId="78C8039A" w14:textId="568FF012" w:rsidR="00D13850" w:rsidRPr="00587071" w:rsidRDefault="00EC2676" w:rsidP="006E0719">
      <w:pPr>
        <w:spacing w:before="80"/>
        <w:ind w:firstLine="567"/>
        <w:jc w:val="both"/>
        <w:rPr>
          <w:sz w:val="28"/>
          <w:szCs w:val="28"/>
        </w:rPr>
      </w:pPr>
      <w:r>
        <w:rPr>
          <w:sz w:val="28"/>
          <w:szCs w:val="28"/>
        </w:rPr>
        <w:t xml:space="preserve">- </w:t>
      </w:r>
      <w:r w:rsidR="00D13850" w:rsidRPr="00587071">
        <w:rPr>
          <w:sz w:val="28"/>
          <w:szCs w:val="28"/>
        </w:rPr>
        <w:t>Nâng cao nhận thức về các chiến lược ngày càng tinh vi của các tập đoàn thuốc lá trên thế giới trong việc tăng khả năng gây nghiện trong khi vẫn tạo cảm giác “công nghệ tiên tiến”.</w:t>
      </w:r>
    </w:p>
    <w:p w14:paraId="2C3F315E" w14:textId="0DD2F7D7" w:rsidR="00D13850" w:rsidRPr="00587071" w:rsidRDefault="00EC2676" w:rsidP="006E0719">
      <w:pPr>
        <w:spacing w:before="80"/>
        <w:ind w:firstLine="567"/>
        <w:jc w:val="both"/>
        <w:rPr>
          <w:sz w:val="28"/>
          <w:szCs w:val="28"/>
        </w:rPr>
      </w:pPr>
      <w:r>
        <w:rPr>
          <w:sz w:val="28"/>
          <w:szCs w:val="28"/>
        </w:rPr>
        <w:t xml:space="preserve">- </w:t>
      </w:r>
      <w:r w:rsidR="00D13850" w:rsidRPr="00587071">
        <w:rPr>
          <w:sz w:val="28"/>
          <w:szCs w:val="28"/>
        </w:rPr>
        <w:t xml:space="preserve">Thúc đẩy các hành động chính sách mạnh mẽ hơn để bảo vệ thanh thiếu niên. </w:t>
      </w:r>
    </w:p>
    <w:p w14:paraId="0F55B7E5" w14:textId="3A5FECD9" w:rsidR="00D13850" w:rsidRPr="00587071" w:rsidRDefault="00EC2676" w:rsidP="006E0719">
      <w:pPr>
        <w:spacing w:before="80"/>
        <w:ind w:firstLine="567"/>
        <w:jc w:val="both"/>
        <w:rPr>
          <w:sz w:val="28"/>
          <w:szCs w:val="28"/>
        </w:rPr>
      </w:pPr>
      <w:r>
        <w:rPr>
          <w:sz w:val="28"/>
          <w:szCs w:val="28"/>
        </w:rPr>
        <w:t xml:space="preserve">- </w:t>
      </w:r>
      <w:r w:rsidR="00D13850" w:rsidRPr="00587071">
        <w:rPr>
          <w:sz w:val="28"/>
          <w:szCs w:val="28"/>
        </w:rPr>
        <w:t xml:space="preserve">Ngăn ngừa nghiện và giảm nhu cầu sử dụng bằng cách trang bị cho công chúng, đặc biệt là thanh thiếu niên các kiến thức và </w:t>
      </w:r>
      <w:r>
        <w:rPr>
          <w:sz w:val="28"/>
          <w:szCs w:val="28"/>
        </w:rPr>
        <w:t>phương pháp</w:t>
      </w:r>
      <w:r w:rsidR="001E68DB">
        <w:rPr>
          <w:sz w:val="28"/>
          <w:szCs w:val="28"/>
        </w:rPr>
        <w:t>, kỹ năng</w:t>
      </w:r>
      <w:r w:rsidR="00D13850" w:rsidRPr="00587071">
        <w:rPr>
          <w:sz w:val="28"/>
          <w:szCs w:val="28"/>
        </w:rPr>
        <w:t xml:space="preserve"> để chống lại sự can thiệp của các tập đoàn thuốc lá, đồng thời tạo điều kiện tiếp cận các biện pháp hỗ trợ cai nghiện </w:t>
      </w:r>
      <w:r>
        <w:rPr>
          <w:sz w:val="28"/>
          <w:szCs w:val="28"/>
        </w:rPr>
        <w:t>thuốc lá</w:t>
      </w:r>
      <w:r w:rsidR="00D13850" w:rsidRPr="00587071">
        <w:rPr>
          <w:sz w:val="28"/>
          <w:szCs w:val="28"/>
        </w:rPr>
        <w:t xml:space="preserve">. </w:t>
      </w:r>
    </w:p>
    <w:p w14:paraId="4F01D217" w14:textId="77777777" w:rsidR="007054CD" w:rsidRPr="00587071" w:rsidRDefault="007054CD" w:rsidP="006E0719">
      <w:pPr>
        <w:spacing w:before="80"/>
        <w:ind w:firstLine="567"/>
        <w:jc w:val="both"/>
        <w:rPr>
          <w:b/>
          <w:sz w:val="28"/>
          <w:szCs w:val="28"/>
          <w:lang w:val="vi-VN"/>
        </w:rPr>
      </w:pPr>
      <w:r w:rsidRPr="00587071">
        <w:rPr>
          <w:b/>
          <w:sz w:val="28"/>
          <w:szCs w:val="28"/>
        </w:rPr>
        <w:t>Tổ chức Y tế Thế giới kêu gọi hành</w:t>
      </w:r>
      <w:r w:rsidRPr="00587071">
        <w:rPr>
          <w:b/>
          <w:sz w:val="28"/>
          <w:szCs w:val="28"/>
          <w:lang w:val="vi-VN"/>
        </w:rPr>
        <w:t xml:space="preserve"> động ngay để bảo vệ thế hệ trẻ </w:t>
      </w:r>
    </w:p>
    <w:p w14:paraId="13E5A974" w14:textId="77777777" w:rsidR="007054CD" w:rsidRDefault="007054CD" w:rsidP="006E0719">
      <w:pPr>
        <w:pStyle w:val="NormalWeb"/>
        <w:spacing w:before="80" w:beforeAutospacing="0" w:after="0" w:afterAutospacing="0"/>
        <w:ind w:firstLine="567"/>
        <w:jc w:val="both"/>
        <w:rPr>
          <w:sz w:val="28"/>
          <w:szCs w:val="28"/>
        </w:rPr>
      </w:pPr>
      <w:r w:rsidRPr="00587071">
        <w:rPr>
          <w:sz w:val="28"/>
          <w:szCs w:val="28"/>
        </w:rPr>
        <w:t>Tổ chức Y tế Thế giới (WHO) kêu gọi các chính phủ, đối tác và tổ</w:t>
      </w:r>
      <w:r w:rsidRPr="00587071">
        <w:rPr>
          <w:sz w:val="28"/>
          <w:szCs w:val="28"/>
          <w:lang w:val="vi-VN"/>
        </w:rPr>
        <w:t xml:space="preserve"> chức </w:t>
      </w:r>
      <w:r w:rsidRPr="00587071">
        <w:rPr>
          <w:sz w:val="28"/>
          <w:szCs w:val="28"/>
        </w:rPr>
        <w:t>xã hội tăng cường quản lý, thu hẹp khoảng cách chính sách và bảo vệ các thế hệ tương lai khỏi tác hại của các sản phẩm thuốc lá và nicotine,</w:t>
      </w:r>
      <w:r w:rsidRPr="00587071">
        <w:rPr>
          <w:sz w:val="28"/>
          <w:szCs w:val="28"/>
          <w:lang w:val="vi-VN"/>
        </w:rPr>
        <w:t xml:space="preserve"> </w:t>
      </w:r>
      <w:r w:rsidRPr="00587071">
        <w:rPr>
          <w:sz w:val="28"/>
          <w:szCs w:val="28"/>
        </w:rPr>
        <w:t>các quốc gia hoàn thiện khung</w:t>
      </w:r>
      <w:r w:rsidRPr="00587071">
        <w:rPr>
          <w:sz w:val="28"/>
          <w:szCs w:val="28"/>
          <w:lang w:val="vi-VN"/>
        </w:rPr>
        <w:t xml:space="preserve"> pháp lý theo hướng toàn diện, đồng bộ </w:t>
      </w:r>
      <w:r w:rsidRPr="00587071">
        <w:rPr>
          <w:sz w:val="28"/>
          <w:szCs w:val="28"/>
        </w:rPr>
        <w:t>để bảo vệ sức khỏe cộng đồng</w:t>
      </w:r>
      <w:r w:rsidRPr="00587071">
        <w:rPr>
          <w:sz w:val="28"/>
          <w:szCs w:val="28"/>
          <w:lang w:val="vi-VN"/>
        </w:rPr>
        <w:t xml:space="preserve">, đặc biệt là thế hệ trẻ. </w:t>
      </w:r>
    </w:p>
    <w:p w14:paraId="4C5E7207" w14:textId="55D91141" w:rsidR="003C135E" w:rsidRDefault="003C135E" w:rsidP="006E0719">
      <w:pPr>
        <w:spacing w:before="80"/>
        <w:ind w:firstLine="567"/>
        <w:jc w:val="both"/>
        <w:rPr>
          <w:b/>
          <w:bCs/>
          <w:sz w:val="28"/>
          <w:szCs w:val="28"/>
        </w:rPr>
      </w:pPr>
      <w:r>
        <w:rPr>
          <w:b/>
          <w:bCs/>
          <w:sz w:val="28"/>
          <w:szCs w:val="28"/>
        </w:rPr>
        <w:t>II</w:t>
      </w:r>
      <w:r w:rsidR="02A8ED90" w:rsidRPr="00587071">
        <w:rPr>
          <w:b/>
          <w:bCs/>
          <w:sz w:val="28"/>
          <w:szCs w:val="28"/>
        </w:rPr>
        <w:t xml:space="preserve">. </w:t>
      </w:r>
      <w:r>
        <w:rPr>
          <w:b/>
          <w:bCs/>
          <w:sz w:val="28"/>
          <w:szCs w:val="28"/>
        </w:rPr>
        <w:t>Một số chính sách hoạt động PCTH thuốc lá</w:t>
      </w:r>
    </w:p>
    <w:p w14:paraId="1C2BBF60" w14:textId="31508001" w:rsidR="00042558" w:rsidRPr="00587071" w:rsidRDefault="00B03AE7" w:rsidP="006E0719">
      <w:pPr>
        <w:spacing w:before="80"/>
        <w:ind w:firstLine="567"/>
        <w:jc w:val="both"/>
        <w:rPr>
          <w:b/>
          <w:bCs/>
          <w:sz w:val="28"/>
          <w:szCs w:val="28"/>
        </w:rPr>
      </w:pPr>
      <w:r>
        <w:rPr>
          <w:b/>
          <w:bCs/>
          <w:sz w:val="28"/>
          <w:szCs w:val="28"/>
        </w:rPr>
        <w:t xml:space="preserve">1. </w:t>
      </w:r>
      <w:r w:rsidR="02A8ED90" w:rsidRPr="00587071">
        <w:rPr>
          <w:b/>
          <w:bCs/>
          <w:sz w:val="28"/>
          <w:szCs w:val="28"/>
        </w:rPr>
        <w:t xml:space="preserve">Thực trạng sử dụng thuốc lá và các sản phẩm thuốc lá mới (thuốc lá điện tử, thuốc lá nung nóng) trong thanh thiếu niên </w:t>
      </w:r>
    </w:p>
    <w:p w14:paraId="46B3ACF4" w14:textId="1EEFAB86" w:rsidR="00F05541" w:rsidRPr="00C16A2E" w:rsidRDefault="007253A7" w:rsidP="006E0719">
      <w:pPr>
        <w:pStyle w:val="NormalWeb"/>
        <w:spacing w:before="80" w:beforeAutospacing="0" w:after="0" w:afterAutospacing="0"/>
        <w:ind w:firstLine="567"/>
        <w:jc w:val="both"/>
        <w:rPr>
          <w:sz w:val="28"/>
          <w:szCs w:val="28"/>
        </w:rPr>
      </w:pPr>
      <w:r w:rsidRPr="00C16A2E">
        <w:rPr>
          <w:sz w:val="28"/>
          <w:szCs w:val="28"/>
        </w:rPr>
        <w:t xml:space="preserve">Tại Việt Nam, </w:t>
      </w:r>
      <w:r w:rsidR="007C122A">
        <w:rPr>
          <w:sz w:val="28"/>
          <w:szCs w:val="28"/>
        </w:rPr>
        <w:t>Báo cáo T</w:t>
      </w:r>
      <w:r w:rsidR="00F05541" w:rsidRPr="00C16A2E">
        <w:rPr>
          <w:sz w:val="28"/>
          <w:szCs w:val="28"/>
        </w:rPr>
        <w:t>ổng kết 13 năm thi hành Luật Phòng, chống tác hại của thuốc lá</w:t>
      </w:r>
      <w:r w:rsidR="00B50945">
        <w:rPr>
          <w:sz w:val="28"/>
          <w:szCs w:val="28"/>
        </w:rPr>
        <w:t xml:space="preserve"> (PCTH thuốc lá)</w:t>
      </w:r>
      <w:r w:rsidR="00F05541" w:rsidRPr="00C16A2E">
        <w:rPr>
          <w:sz w:val="28"/>
          <w:szCs w:val="28"/>
        </w:rPr>
        <w:t xml:space="preserve"> cho thấy nhờ có nhiều nỗ lực trong công tác </w:t>
      </w:r>
      <w:r w:rsidR="00B50945">
        <w:rPr>
          <w:sz w:val="28"/>
          <w:szCs w:val="28"/>
        </w:rPr>
        <w:t xml:space="preserve">PCTH </w:t>
      </w:r>
      <w:r w:rsidR="00F05541" w:rsidRPr="00C16A2E">
        <w:rPr>
          <w:sz w:val="28"/>
          <w:szCs w:val="28"/>
        </w:rPr>
        <w:t xml:space="preserve">thuốc lá, tỷ lệ sử dụng thuốc lá điếu thông thường trong nam giới trưởng </w:t>
      </w:r>
      <w:r w:rsidR="00F05541" w:rsidRPr="00C16A2E">
        <w:rPr>
          <w:sz w:val="28"/>
          <w:szCs w:val="28"/>
        </w:rPr>
        <w:lastRenderedPageBreak/>
        <w:t>thành giảm, đồng thời tỷ lệ phơi nhiễm với khói thuốc thụ động cũng giảm đáng kể cả ở các hộ gia đình, nơi công cộng và nơi làm việc</w:t>
      </w:r>
      <w:r w:rsidR="00756F8F">
        <w:rPr>
          <w:sz w:val="28"/>
          <w:szCs w:val="28"/>
        </w:rPr>
        <w:t>.</w:t>
      </w:r>
    </w:p>
    <w:p w14:paraId="03E87E64" w14:textId="4A7005D8" w:rsidR="008B3495" w:rsidRPr="00C16A2E" w:rsidRDefault="008B3495" w:rsidP="006E0719">
      <w:pPr>
        <w:pStyle w:val="NormalWeb"/>
        <w:spacing w:before="80" w:beforeAutospacing="0" w:after="0" w:afterAutospacing="0"/>
        <w:ind w:firstLine="567"/>
        <w:jc w:val="both"/>
        <w:rPr>
          <w:sz w:val="28"/>
          <w:szCs w:val="28"/>
          <w:lang w:val="nl-NL"/>
        </w:rPr>
      </w:pPr>
      <w:r w:rsidRPr="00C16A2E">
        <w:rPr>
          <w:sz w:val="28"/>
          <w:szCs w:val="28"/>
        </w:rPr>
        <w:t>Theo điều tra tình hình sử dụng thuốc lá ở người trên 15 tuổi năm 202</w:t>
      </w:r>
      <w:r w:rsidR="0049134C" w:rsidRPr="00C16A2E">
        <w:rPr>
          <w:sz w:val="28"/>
          <w:szCs w:val="28"/>
        </w:rPr>
        <w:t>3</w:t>
      </w:r>
      <w:r w:rsidRPr="00C16A2E">
        <w:rPr>
          <w:sz w:val="28"/>
          <w:szCs w:val="28"/>
        </w:rPr>
        <w:t>: Tỷ lệ sử dụng thuốc lá trong nam giới giảm từ 47,4% (năm 2010)</w:t>
      </w:r>
      <w:r w:rsidRPr="00C16A2E">
        <w:rPr>
          <w:sz w:val="28"/>
          <w:szCs w:val="28"/>
          <w:vertAlign w:val="superscript"/>
        </w:rPr>
        <w:footnoteReference w:id="12"/>
      </w:r>
      <w:r w:rsidRPr="00C16A2E">
        <w:rPr>
          <w:sz w:val="28"/>
          <w:szCs w:val="28"/>
        </w:rPr>
        <w:t xml:space="preserve"> xuống 3</w:t>
      </w:r>
      <w:r w:rsidR="0049134C" w:rsidRPr="00C16A2E">
        <w:rPr>
          <w:sz w:val="28"/>
          <w:szCs w:val="28"/>
        </w:rPr>
        <w:t>8</w:t>
      </w:r>
      <w:r w:rsidRPr="00C16A2E">
        <w:rPr>
          <w:sz w:val="28"/>
          <w:szCs w:val="28"/>
        </w:rPr>
        <w:t>,</w:t>
      </w:r>
      <w:r w:rsidR="0049134C" w:rsidRPr="00C16A2E">
        <w:rPr>
          <w:sz w:val="28"/>
          <w:szCs w:val="28"/>
        </w:rPr>
        <w:t>9</w:t>
      </w:r>
      <w:r w:rsidRPr="00C16A2E">
        <w:rPr>
          <w:sz w:val="28"/>
          <w:szCs w:val="28"/>
        </w:rPr>
        <w:t>% (năm 202</w:t>
      </w:r>
      <w:r w:rsidR="00F05541" w:rsidRPr="00C16A2E">
        <w:rPr>
          <w:sz w:val="28"/>
          <w:szCs w:val="28"/>
        </w:rPr>
        <w:t>3</w:t>
      </w:r>
      <w:r w:rsidRPr="00C16A2E">
        <w:rPr>
          <w:sz w:val="28"/>
          <w:szCs w:val="28"/>
        </w:rPr>
        <w:t>)</w:t>
      </w:r>
      <w:r w:rsidRPr="00C16A2E">
        <w:rPr>
          <w:sz w:val="28"/>
          <w:szCs w:val="28"/>
          <w:vertAlign w:val="superscript"/>
        </w:rPr>
        <w:footnoteReference w:id="13"/>
      </w:r>
      <w:r w:rsidR="0062627C">
        <w:rPr>
          <w:sz w:val="28"/>
          <w:szCs w:val="28"/>
        </w:rPr>
        <w:t>.</w:t>
      </w:r>
      <w:r w:rsidR="00E55C9A" w:rsidRPr="00C16A2E">
        <w:rPr>
          <w:sz w:val="28"/>
          <w:szCs w:val="28"/>
        </w:rPr>
        <w:t xml:space="preserve"> </w:t>
      </w:r>
      <w:r w:rsidRPr="00C16A2E">
        <w:rPr>
          <w:sz w:val="28"/>
          <w:szCs w:val="28"/>
        </w:rPr>
        <w:t>Tỷ lệ sử dụng thuốc lá trong thanh thiếu niên</w:t>
      </w:r>
      <w:r w:rsidR="00E55C9A" w:rsidRPr="00C16A2E">
        <w:rPr>
          <w:sz w:val="28"/>
          <w:szCs w:val="28"/>
        </w:rPr>
        <w:t xml:space="preserve"> </w:t>
      </w:r>
      <w:r w:rsidRPr="00C16A2E">
        <w:rPr>
          <w:sz w:val="28"/>
          <w:szCs w:val="28"/>
        </w:rPr>
        <w:t>từ 13 đến 17 tuổi</w:t>
      </w:r>
      <w:r w:rsidR="00E55C9A" w:rsidRPr="00C16A2E">
        <w:rPr>
          <w:sz w:val="28"/>
          <w:szCs w:val="28"/>
        </w:rPr>
        <w:t xml:space="preserve"> g</w:t>
      </w:r>
      <w:r w:rsidRPr="00C16A2E">
        <w:rPr>
          <w:sz w:val="28"/>
          <w:szCs w:val="28"/>
        </w:rPr>
        <w:t>iảm từ 5,36% năm 2013 xuống 2,78% năm 2019</w:t>
      </w:r>
      <w:r w:rsidRPr="00C16A2E">
        <w:rPr>
          <w:sz w:val="28"/>
          <w:szCs w:val="28"/>
          <w:vertAlign w:val="superscript"/>
        </w:rPr>
        <w:footnoteReference w:id="14"/>
      </w:r>
      <w:r w:rsidR="00E55C9A" w:rsidRPr="00C16A2E">
        <w:rPr>
          <w:sz w:val="28"/>
          <w:szCs w:val="28"/>
        </w:rPr>
        <w:t>; trong n</w:t>
      </w:r>
      <w:r w:rsidRPr="00C16A2E">
        <w:rPr>
          <w:sz w:val="28"/>
          <w:szCs w:val="28"/>
        </w:rPr>
        <w:t>hóm tuổi từ 13 đến 15 tuổi giảm từ 2,5% (năm 2014) xuống 1,9% (năm 2022</w:t>
      </w:r>
      <w:r w:rsidRPr="00C16A2E">
        <w:rPr>
          <w:sz w:val="28"/>
          <w:szCs w:val="28"/>
          <w:lang w:val="nl-NL"/>
        </w:rPr>
        <w:t xml:space="preserve">) </w:t>
      </w:r>
      <w:r w:rsidRPr="00C16A2E">
        <w:rPr>
          <w:sz w:val="28"/>
          <w:szCs w:val="28"/>
          <w:vertAlign w:val="superscript"/>
        </w:rPr>
        <w:footnoteReference w:id="15"/>
      </w:r>
      <w:r w:rsidRPr="00C16A2E">
        <w:rPr>
          <w:sz w:val="28"/>
          <w:szCs w:val="28"/>
          <w:lang w:val="nl-NL"/>
        </w:rPr>
        <w:t>.</w:t>
      </w:r>
    </w:p>
    <w:p w14:paraId="15D725E9" w14:textId="74AB0547" w:rsidR="006E2FC2" w:rsidRPr="00587071" w:rsidDel="003571C0" w:rsidRDefault="00F05541" w:rsidP="006E0719">
      <w:pPr>
        <w:spacing w:before="80"/>
        <w:ind w:firstLine="567"/>
        <w:jc w:val="both"/>
        <w:rPr>
          <w:sz w:val="28"/>
          <w:szCs w:val="28"/>
        </w:rPr>
      </w:pPr>
      <w:r w:rsidRPr="00C16A2E">
        <w:rPr>
          <w:sz w:val="28"/>
          <w:szCs w:val="28"/>
        </w:rPr>
        <w:t>Giai đoạn</w:t>
      </w:r>
      <w:r w:rsidR="00EF71CC" w:rsidRPr="00C16A2E">
        <w:rPr>
          <w:sz w:val="28"/>
          <w:szCs w:val="28"/>
        </w:rPr>
        <w:t xml:space="preserve"> </w:t>
      </w:r>
      <w:r w:rsidR="007067B5">
        <w:rPr>
          <w:sz w:val="28"/>
          <w:szCs w:val="28"/>
        </w:rPr>
        <w:t>2010-</w:t>
      </w:r>
      <w:r w:rsidR="00EF71CC" w:rsidRPr="00C16A2E">
        <w:rPr>
          <w:sz w:val="28"/>
          <w:szCs w:val="28"/>
        </w:rPr>
        <w:t>2025</w:t>
      </w:r>
      <w:r w:rsidR="008B5D1B" w:rsidRPr="00C16A2E">
        <w:rPr>
          <w:sz w:val="28"/>
          <w:szCs w:val="28"/>
        </w:rPr>
        <w:t xml:space="preserve">, </w:t>
      </w:r>
      <w:r w:rsidR="002041CD" w:rsidRPr="00C16A2E">
        <w:rPr>
          <w:sz w:val="28"/>
          <w:szCs w:val="28"/>
        </w:rPr>
        <w:t xml:space="preserve">tỷ lệ hút thuốc thụ động </w:t>
      </w:r>
      <w:r w:rsidR="00EF71CC" w:rsidRPr="00C16A2E">
        <w:rPr>
          <w:sz w:val="28"/>
          <w:szCs w:val="28"/>
        </w:rPr>
        <w:t>t</w:t>
      </w:r>
      <w:r w:rsidR="006E2FC2" w:rsidRPr="00C16A2E">
        <w:rPr>
          <w:sz w:val="28"/>
          <w:szCs w:val="28"/>
        </w:rPr>
        <w:t>ại nơi làm việc giảm 32,9% (từ 55,9% xuống 23%); tại cơ sở y tế gi</w:t>
      </w:r>
      <w:bookmarkStart w:id="0" w:name="_Hlk145422915"/>
      <w:r w:rsidR="0062627C">
        <w:rPr>
          <w:sz w:val="28"/>
          <w:szCs w:val="28"/>
        </w:rPr>
        <w:t>ảm 2,3% (từ 23,6% xuống 21,3%);</w:t>
      </w:r>
      <w:r w:rsidR="006E2FC2" w:rsidRPr="00C16A2E">
        <w:rPr>
          <w:sz w:val="28"/>
          <w:szCs w:val="28"/>
        </w:rPr>
        <w:t xml:space="preserve"> tại trường trung cấp, cao đẳng và đại học giảm 23,6% (từ </w:t>
      </w:r>
      <w:r w:rsidR="006E2FC2" w:rsidRPr="00587071">
        <w:rPr>
          <w:sz w:val="28"/>
          <w:szCs w:val="28"/>
        </w:rPr>
        <w:t xml:space="preserve">54,3% xuống 30,7%); </w:t>
      </w:r>
      <w:bookmarkEnd w:id="0"/>
      <w:r w:rsidR="006E2FC2" w:rsidRPr="00587071">
        <w:rPr>
          <w:sz w:val="28"/>
          <w:szCs w:val="28"/>
        </w:rPr>
        <w:t>trên phương tiện giao thông công cộng giảm 15,4% (từ 34,4% xuống 19%); tại nhà hàng, quán ăn giảm 16,3% (từ 84,9% xuống 68,6%); tại gia đình giảm 27,5% (từ 73,1% xuống 45,6%).</w:t>
      </w:r>
    </w:p>
    <w:p w14:paraId="38F9564B" w14:textId="66236B6E" w:rsidR="00EF71CC" w:rsidRPr="00587071" w:rsidRDefault="00EF71CC" w:rsidP="006E0719">
      <w:pPr>
        <w:pStyle w:val="NormalWeb"/>
        <w:spacing w:before="80" w:beforeAutospacing="0" w:after="0" w:afterAutospacing="0"/>
        <w:ind w:firstLine="567"/>
        <w:jc w:val="both"/>
        <w:rPr>
          <w:sz w:val="28"/>
          <w:szCs w:val="28"/>
        </w:rPr>
      </w:pPr>
      <w:r w:rsidRPr="00587071">
        <w:rPr>
          <w:sz w:val="28"/>
          <w:szCs w:val="28"/>
        </w:rPr>
        <w:t xml:space="preserve">Đây là những kết quả rất đáng khích lệ trong công tác </w:t>
      </w:r>
      <w:r w:rsidR="00B50945">
        <w:rPr>
          <w:sz w:val="28"/>
          <w:szCs w:val="28"/>
        </w:rPr>
        <w:t>PCTH</w:t>
      </w:r>
      <w:r w:rsidRPr="00587071">
        <w:rPr>
          <w:sz w:val="28"/>
          <w:szCs w:val="28"/>
        </w:rPr>
        <w:t xml:space="preserve"> thuốc lá. Tuy nhiên, những thành tựu này có nguy cơ bị phá bỏ bởi việc gia tăng nhanh ch</w:t>
      </w:r>
      <w:r w:rsidR="00187FD1">
        <w:rPr>
          <w:sz w:val="28"/>
          <w:szCs w:val="28"/>
        </w:rPr>
        <w:t xml:space="preserve">óng tỷ lệ sử dụng thuốc lá mới, </w:t>
      </w:r>
      <w:r w:rsidRPr="00587071">
        <w:rPr>
          <w:sz w:val="28"/>
          <w:szCs w:val="28"/>
        </w:rPr>
        <w:t xml:space="preserve">chủ yếu là </w:t>
      </w:r>
      <w:r w:rsidR="00187FD1">
        <w:rPr>
          <w:sz w:val="28"/>
          <w:szCs w:val="28"/>
        </w:rPr>
        <w:t>thuốc lá điện tử (</w:t>
      </w:r>
      <w:r w:rsidRPr="00587071">
        <w:rPr>
          <w:sz w:val="28"/>
          <w:szCs w:val="28"/>
        </w:rPr>
        <w:t>TLĐT</w:t>
      </w:r>
      <w:r w:rsidR="00187FD1">
        <w:rPr>
          <w:sz w:val="28"/>
          <w:szCs w:val="28"/>
        </w:rPr>
        <w:t>)</w:t>
      </w:r>
      <w:r w:rsidRPr="00587071">
        <w:rPr>
          <w:sz w:val="28"/>
          <w:szCs w:val="28"/>
        </w:rPr>
        <w:t xml:space="preserve">, </w:t>
      </w:r>
      <w:r w:rsidR="00187FD1">
        <w:rPr>
          <w:sz w:val="28"/>
          <w:szCs w:val="28"/>
        </w:rPr>
        <w:t>thuốc lá nung nóng (</w:t>
      </w:r>
      <w:r w:rsidRPr="00587071">
        <w:rPr>
          <w:sz w:val="28"/>
          <w:szCs w:val="28"/>
        </w:rPr>
        <w:t>TL</w:t>
      </w:r>
      <w:r w:rsidR="00DB737B">
        <w:rPr>
          <w:sz w:val="28"/>
          <w:szCs w:val="28"/>
        </w:rPr>
        <w:t>NN), đặc biệt là trong giới trẻ, cụ thể:</w:t>
      </w:r>
    </w:p>
    <w:p w14:paraId="6A4E81D8" w14:textId="41CA567E" w:rsidR="007253A7" w:rsidRPr="00587071" w:rsidRDefault="00DB737B" w:rsidP="006E0719">
      <w:pPr>
        <w:pStyle w:val="NormalWeb"/>
        <w:spacing w:before="80" w:beforeAutospacing="0" w:after="0" w:afterAutospacing="0"/>
        <w:ind w:firstLine="567"/>
        <w:jc w:val="both"/>
        <w:rPr>
          <w:sz w:val="28"/>
          <w:szCs w:val="28"/>
        </w:rPr>
      </w:pPr>
      <w:r>
        <w:rPr>
          <w:sz w:val="28"/>
          <w:szCs w:val="28"/>
        </w:rPr>
        <w:t xml:space="preserve">- </w:t>
      </w:r>
      <w:r w:rsidR="00AD7586" w:rsidRPr="00587071">
        <w:rPr>
          <w:sz w:val="28"/>
          <w:szCs w:val="28"/>
        </w:rPr>
        <w:t>T</w:t>
      </w:r>
      <w:r w:rsidR="007253A7" w:rsidRPr="00587071">
        <w:rPr>
          <w:sz w:val="28"/>
          <w:szCs w:val="28"/>
        </w:rPr>
        <w:t xml:space="preserve">ỷ lệ sử dụng thuốc lá điện tử ở học sinh đang gia tăng một cách đáng báo động. Nếu như năm 2019 tỷ lệ này ở nhóm 13–17 tuổi chỉ là 2,6%, thì đến năm 2023, khảo sát tại 11 tỉnh thành cho thấy con số này </w:t>
      </w:r>
      <w:r w:rsidR="00A36582" w:rsidRPr="00587071">
        <w:rPr>
          <w:sz w:val="28"/>
          <w:szCs w:val="28"/>
        </w:rPr>
        <w:t>là</w:t>
      </w:r>
      <w:r w:rsidR="007253A7" w:rsidRPr="00587071">
        <w:rPr>
          <w:sz w:val="28"/>
          <w:szCs w:val="28"/>
        </w:rPr>
        <w:t xml:space="preserve"> 8,1%. Ngay cả ở nữ giới độ tuổi 11–18, tỷ lệ sử dụng cũn</w:t>
      </w:r>
      <w:r w:rsidR="00935EC4">
        <w:rPr>
          <w:sz w:val="28"/>
          <w:szCs w:val="28"/>
        </w:rPr>
        <w:t>g đã chạm mức 4,3% vào năm 2023</w:t>
      </w:r>
      <w:r w:rsidR="00384A63">
        <w:rPr>
          <w:rStyle w:val="FootnoteReference"/>
          <w:sz w:val="28"/>
          <w:szCs w:val="28"/>
        </w:rPr>
        <w:footnoteReference w:id="16"/>
      </w:r>
      <w:r w:rsidR="00935EC4">
        <w:rPr>
          <w:sz w:val="28"/>
          <w:szCs w:val="28"/>
        </w:rPr>
        <w:t>.</w:t>
      </w:r>
    </w:p>
    <w:p w14:paraId="60D81F6C" w14:textId="79FF61D7" w:rsidR="007253A7" w:rsidRPr="00587071" w:rsidRDefault="00DB737B" w:rsidP="006E0719">
      <w:pPr>
        <w:pStyle w:val="NormalWeb"/>
        <w:spacing w:before="80" w:beforeAutospacing="0" w:after="0" w:afterAutospacing="0"/>
        <w:ind w:firstLine="567"/>
        <w:jc w:val="both"/>
        <w:rPr>
          <w:sz w:val="28"/>
          <w:szCs w:val="28"/>
        </w:rPr>
      </w:pPr>
      <w:r>
        <w:rPr>
          <w:sz w:val="28"/>
          <w:szCs w:val="28"/>
        </w:rPr>
        <w:t xml:space="preserve">- </w:t>
      </w:r>
      <w:r w:rsidR="007253A7" w:rsidRPr="00587071">
        <w:rPr>
          <w:sz w:val="28"/>
          <w:szCs w:val="28"/>
        </w:rPr>
        <w:t>Tỷ lệ sử dụng thuốc lá điện tử ở người trưởng thành tại Việt Nam cũng ghi nhận sự gia tăng từ 0,2% năm 2015 lên 3,6% vào năm 2020, trong đó nhóm tuổi 15–24 chiếm tỷ lệ cao nhất với 7,3%</w:t>
      </w:r>
      <w:r w:rsidR="001A2282">
        <w:rPr>
          <w:rStyle w:val="FootnoteReference"/>
          <w:sz w:val="28"/>
          <w:szCs w:val="28"/>
        </w:rPr>
        <w:footnoteReference w:id="17"/>
      </w:r>
      <w:r w:rsidR="001A2282">
        <w:rPr>
          <w:sz w:val="28"/>
          <w:szCs w:val="28"/>
        </w:rPr>
        <w:t xml:space="preserve">. </w:t>
      </w:r>
      <w:r w:rsidR="007253A7" w:rsidRPr="00587071">
        <w:rPr>
          <w:sz w:val="28"/>
          <w:szCs w:val="28"/>
        </w:rPr>
        <w:t>Những con số này cho thấy xu hướng trẻ hóa đối tượng nghiện nicotine đang diễn ra mạnh mẽ, khi các tập đoàn thuốc lá liên tục tìm cách tiếp cận và lôi kéo nhóm khách hàng trẻ tuổi thông qua các sản phẩm mới đầy tính kích thích.</w:t>
      </w:r>
    </w:p>
    <w:p w14:paraId="5E3A57E9" w14:textId="576EC9F9" w:rsidR="007253A7" w:rsidRPr="00587071" w:rsidRDefault="00B25941" w:rsidP="006E0719">
      <w:pPr>
        <w:pStyle w:val="NormalWeb"/>
        <w:spacing w:before="80" w:beforeAutospacing="0" w:after="0" w:afterAutospacing="0"/>
        <w:ind w:firstLine="567"/>
        <w:jc w:val="both"/>
        <w:rPr>
          <w:sz w:val="28"/>
          <w:szCs w:val="28"/>
        </w:rPr>
      </w:pPr>
      <w:r>
        <w:rPr>
          <w:sz w:val="28"/>
          <w:szCs w:val="28"/>
        </w:rPr>
        <w:t>Tổ chức Y tế T</w:t>
      </w:r>
      <w:r w:rsidR="007903A1">
        <w:rPr>
          <w:sz w:val="28"/>
          <w:szCs w:val="28"/>
        </w:rPr>
        <w:t>hế giới</w:t>
      </w:r>
      <w:r w:rsidR="007253A7" w:rsidRPr="00587071">
        <w:rPr>
          <w:sz w:val="28"/>
          <w:szCs w:val="28"/>
        </w:rPr>
        <w:t xml:space="preserve"> khẳng định rằng không có bất kỳ sản phẩ</w:t>
      </w:r>
      <w:r w:rsidR="00956D06" w:rsidRPr="00587071">
        <w:rPr>
          <w:sz w:val="28"/>
          <w:szCs w:val="28"/>
        </w:rPr>
        <w:t>m</w:t>
      </w:r>
      <w:r w:rsidR="007253A7" w:rsidRPr="00587071">
        <w:rPr>
          <w:sz w:val="28"/>
          <w:szCs w:val="28"/>
        </w:rPr>
        <w:t xml:space="preserve"> chứa nicotine nào</w:t>
      </w:r>
      <w:r w:rsidR="007903A1" w:rsidRPr="007903A1">
        <w:rPr>
          <w:sz w:val="28"/>
          <w:szCs w:val="28"/>
        </w:rPr>
        <w:t xml:space="preserve"> </w:t>
      </w:r>
      <w:r w:rsidR="007903A1" w:rsidRPr="00587071">
        <w:rPr>
          <w:sz w:val="28"/>
          <w:szCs w:val="28"/>
        </w:rPr>
        <w:t>là an toàn cho sức khỏe</w:t>
      </w:r>
      <w:r w:rsidR="007903A1">
        <w:rPr>
          <w:sz w:val="28"/>
          <w:szCs w:val="28"/>
        </w:rPr>
        <w:t xml:space="preserve">, </w:t>
      </w:r>
      <w:r w:rsidR="007253A7" w:rsidRPr="00587071">
        <w:rPr>
          <w:sz w:val="28"/>
          <w:szCs w:val="28"/>
        </w:rPr>
        <w:t xml:space="preserve">từ thuốc lá điếu, thuốc lào đến thuốc lá điện tử, thuốc lá nung nóng, thuốc lá ngậm, túi ngậm nicotine. Nicotine là chất gây nghiện </w:t>
      </w:r>
      <w:r w:rsidR="00A36582" w:rsidRPr="00587071">
        <w:rPr>
          <w:sz w:val="28"/>
          <w:szCs w:val="28"/>
        </w:rPr>
        <w:t xml:space="preserve">rất </w:t>
      </w:r>
      <w:r w:rsidR="007253A7" w:rsidRPr="00587071">
        <w:rPr>
          <w:sz w:val="28"/>
          <w:szCs w:val="28"/>
        </w:rPr>
        <w:t xml:space="preserve">mạnh và đặc biệt nguy hiểm đối với sự phát triển não bộ của thanh thiếu niên. Việc tiếp xúc với nicotine trong giai đoạn này gây ra những hậu quả nghiêm trọng cả ngắn hạn và dài hạn như rối loạn nhận thức, giảm khả </w:t>
      </w:r>
      <w:r w:rsidR="007253A7" w:rsidRPr="00587071">
        <w:rPr>
          <w:sz w:val="28"/>
          <w:szCs w:val="28"/>
        </w:rPr>
        <w:lastRenderedPageBreak/>
        <w:t>năng học tập, rối loạn cảm xúc và các vấn đề về sức khỏe tâm thần</w:t>
      </w:r>
      <w:r w:rsidR="001A2282">
        <w:rPr>
          <w:rStyle w:val="FootnoteReference"/>
          <w:sz w:val="28"/>
          <w:szCs w:val="28"/>
        </w:rPr>
        <w:footnoteReference w:id="18"/>
      </w:r>
      <w:r w:rsidR="001A2282">
        <w:rPr>
          <w:sz w:val="28"/>
          <w:szCs w:val="28"/>
        </w:rPr>
        <w:t xml:space="preserve">. </w:t>
      </w:r>
      <w:r w:rsidR="007253A7" w:rsidRPr="00587071">
        <w:rPr>
          <w:sz w:val="28"/>
          <w:szCs w:val="28"/>
        </w:rPr>
        <w:t xml:space="preserve">Và việc càng bắt đầu sớm càng </w:t>
      </w:r>
      <w:r w:rsidR="00956D06" w:rsidRPr="00587071">
        <w:rPr>
          <w:sz w:val="28"/>
          <w:szCs w:val="28"/>
        </w:rPr>
        <w:t>làm</w:t>
      </w:r>
      <w:r w:rsidR="00956D06" w:rsidRPr="00587071">
        <w:rPr>
          <w:sz w:val="28"/>
          <w:szCs w:val="28"/>
          <w:lang w:val="vi-VN"/>
        </w:rPr>
        <w:t xml:space="preserve"> </w:t>
      </w:r>
      <w:r w:rsidR="007253A7" w:rsidRPr="00587071">
        <w:rPr>
          <w:sz w:val="28"/>
          <w:szCs w:val="28"/>
        </w:rPr>
        <w:t xml:space="preserve">gia </w:t>
      </w:r>
      <w:r w:rsidR="00956D06" w:rsidRPr="00587071">
        <w:rPr>
          <w:sz w:val="28"/>
          <w:szCs w:val="28"/>
        </w:rPr>
        <w:t>tăng</w:t>
      </w:r>
      <w:r w:rsidR="00956D06" w:rsidRPr="00587071">
        <w:rPr>
          <w:sz w:val="28"/>
          <w:szCs w:val="28"/>
          <w:lang w:val="vi-VN"/>
        </w:rPr>
        <w:t xml:space="preserve"> </w:t>
      </w:r>
      <w:r w:rsidR="007253A7" w:rsidRPr="00587071">
        <w:rPr>
          <w:sz w:val="28"/>
          <w:szCs w:val="28"/>
        </w:rPr>
        <w:t xml:space="preserve">nguy cơ sử dụng đồng thời nhiều sản phẩm khác nhau </w:t>
      </w:r>
      <w:r w:rsidR="001A2282">
        <w:rPr>
          <w:rStyle w:val="FootnoteReference"/>
          <w:sz w:val="28"/>
          <w:szCs w:val="28"/>
        </w:rPr>
        <w:footnoteReference w:id="19"/>
      </w:r>
      <w:r w:rsidR="001A2282">
        <w:rPr>
          <w:sz w:val="28"/>
          <w:szCs w:val="28"/>
        </w:rPr>
        <w:t xml:space="preserve"> </w:t>
      </w:r>
      <w:r w:rsidR="007253A7" w:rsidRPr="00587071">
        <w:rPr>
          <w:sz w:val="28"/>
          <w:szCs w:val="28"/>
        </w:rPr>
        <w:t xml:space="preserve">thay </w:t>
      </w:r>
      <w:r w:rsidR="00956D06" w:rsidRPr="00587071">
        <w:rPr>
          <w:sz w:val="28"/>
          <w:szCs w:val="28"/>
        </w:rPr>
        <w:t>vì</w:t>
      </w:r>
      <w:r w:rsidR="00956D06" w:rsidRPr="00587071">
        <w:rPr>
          <w:sz w:val="28"/>
          <w:szCs w:val="28"/>
          <w:lang w:val="vi-VN"/>
        </w:rPr>
        <w:t xml:space="preserve"> </w:t>
      </w:r>
      <w:r w:rsidR="007253A7" w:rsidRPr="00587071">
        <w:rPr>
          <w:sz w:val="28"/>
          <w:szCs w:val="28"/>
        </w:rPr>
        <w:t xml:space="preserve">là chuyển đổi sang một loại duy nhất như tuyên bố </w:t>
      </w:r>
      <w:r w:rsidR="004D7462">
        <w:rPr>
          <w:sz w:val="28"/>
          <w:szCs w:val="28"/>
        </w:rPr>
        <w:t>của ngành công nghiệp thuốc lá</w:t>
      </w:r>
      <w:r w:rsidR="003B3EAF">
        <w:rPr>
          <w:rStyle w:val="FootnoteReference"/>
          <w:sz w:val="28"/>
          <w:szCs w:val="28"/>
        </w:rPr>
        <w:footnoteReference w:id="20"/>
      </w:r>
      <w:r w:rsidR="004D7462">
        <w:rPr>
          <w:sz w:val="28"/>
          <w:szCs w:val="28"/>
        </w:rPr>
        <w:t>.</w:t>
      </w:r>
    </w:p>
    <w:p w14:paraId="2624B2C6" w14:textId="1E6C0F48" w:rsidR="00042558" w:rsidRPr="00587071" w:rsidRDefault="00B71239" w:rsidP="006E0719">
      <w:pPr>
        <w:spacing w:before="80"/>
        <w:ind w:firstLine="567"/>
        <w:jc w:val="both"/>
        <w:rPr>
          <w:b/>
          <w:sz w:val="28"/>
          <w:szCs w:val="28"/>
          <w:lang w:val="vi-VN"/>
        </w:rPr>
      </w:pPr>
      <w:r>
        <w:rPr>
          <w:b/>
          <w:sz w:val="28"/>
          <w:szCs w:val="28"/>
        </w:rPr>
        <w:t>2</w:t>
      </w:r>
      <w:r w:rsidR="00042558" w:rsidRPr="00587071">
        <w:rPr>
          <w:b/>
          <w:sz w:val="28"/>
          <w:szCs w:val="28"/>
        </w:rPr>
        <w:t xml:space="preserve">. </w:t>
      </w:r>
      <w:r w:rsidR="00A26697" w:rsidRPr="00587071">
        <w:rPr>
          <w:b/>
          <w:sz w:val="28"/>
          <w:szCs w:val="28"/>
        </w:rPr>
        <w:t xml:space="preserve">Một số chính sách </w:t>
      </w:r>
      <w:r w:rsidR="003213C1" w:rsidRPr="00587071">
        <w:rPr>
          <w:b/>
          <w:sz w:val="28"/>
          <w:szCs w:val="28"/>
          <w:lang w:val="vi-VN"/>
        </w:rPr>
        <w:t xml:space="preserve">trong </w:t>
      </w:r>
      <w:r w:rsidR="00CE6689" w:rsidRPr="00587071">
        <w:rPr>
          <w:b/>
          <w:sz w:val="28"/>
          <w:szCs w:val="28"/>
        </w:rPr>
        <w:t>hoạt động p</w:t>
      </w:r>
      <w:r w:rsidR="00DE20CC" w:rsidRPr="00587071">
        <w:rPr>
          <w:b/>
          <w:sz w:val="28"/>
          <w:szCs w:val="28"/>
        </w:rPr>
        <w:t>hòng</w:t>
      </w:r>
      <w:r w:rsidR="00DE20CC" w:rsidRPr="00587071">
        <w:rPr>
          <w:b/>
          <w:sz w:val="28"/>
          <w:szCs w:val="28"/>
          <w:lang w:val="vi-VN"/>
        </w:rPr>
        <w:t>, chống tác hại của thuốc lá</w:t>
      </w:r>
      <w:r w:rsidR="005C2737" w:rsidRPr="00587071">
        <w:rPr>
          <w:b/>
          <w:sz w:val="28"/>
          <w:szCs w:val="28"/>
        </w:rPr>
        <w:t xml:space="preserve"> </w:t>
      </w:r>
    </w:p>
    <w:p w14:paraId="616D6868" w14:textId="5D6F771B" w:rsidR="008D0DD8" w:rsidRPr="0075151A" w:rsidRDefault="008D0DD8" w:rsidP="006E0719">
      <w:pPr>
        <w:spacing w:before="80"/>
        <w:ind w:firstLine="567"/>
        <w:jc w:val="both"/>
        <w:rPr>
          <w:rFonts w:eastAsia="Arial"/>
          <w:sz w:val="28"/>
          <w:szCs w:val="28"/>
        </w:rPr>
      </w:pPr>
      <w:r w:rsidRPr="00587071">
        <w:rPr>
          <w:sz w:val="28"/>
          <w:szCs w:val="28"/>
          <w:lang w:val="vi"/>
        </w:rPr>
        <w:t xml:space="preserve">Mặc dù đã có nhiều nỗ lực và đạt </w:t>
      </w:r>
      <w:r w:rsidRPr="00587071">
        <w:rPr>
          <w:sz w:val="28"/>
          <w:szCs w:val="28"/>
        </w:rPr>
        <w:t xml:space="preserve">được những </w:t>
      </w:r>
      <w:r w:rsidRPr="00587071">
        <w:rPr>
          <w:sz w:val="28"/>
          <w:szCs w:val="28"/>
          <w:lang w:val="vi"/>
        </w:rPr>
        <w:t xml:space="preserve">kết quả </w:t>
      </w:r>
      <w:r w:rsidRPr="00587071">
        <w:rPr>
          <w:sz w:val="28"/>
          <w:szCs w:val="28"/>
        </w:rPr>
        <w:t xml:space="preserve">đáng ghi nhận </w:t>
      </w:r>
      <w:r w:rsidRPr="00587071">
        <w:rPr>
          <w:sz w:val="28"/>
          <w:szCs w:val="28"/>
          <w:lang w:val="vi"/>
        </w:rPr>
        <w:t>trong công tác phòng, chống tác hại của thuốc lá</w:t>
      </w:r>
      <w:r w:rsidRPr="00587071">
        <w:rPr>
          <w:sz w:val="28"/>
          <w:szCs w:val="28"/>
        </w:rPr>
        <w:t xml:space="preserve"> song </w:t>
      </w:r>
      <w:r w:rsidRPr="0075151A">
        <w:rPr>
          <w:iCs/>
          <w:sz w:val="28"/>
          <w:szCs w:val="28"/>
          <w:lang w:val="vi"/>
        </w:rPr>
        <w:t>Việt Nam vẫn là một trong 15 quốc gia có tỉ lệ nam giới trưởng thành hút thuốc lá nhiều nhất trên thế giới</w:t>
      </w:r>
      <w:r w:rsidRPr="0075151A">
        <w:rPr>
          <w:sz w:val="28"/>
          <w:szCs w:val="28"/>
          <w:lang w:val="vi"/>
        </w:rPr>
        <w:t xml:space="preserve"> </w:t>
      </w:r>
      <w:r w:rsidRPr="0075151A">
        <w:rPr>
          <w:iCs/>
          <w:sz w:val="28"/>
          <w:szCs w:val="28"/>
          <w:lang w:val="vi"/>
        </w:rPr>
        <w:t>và đứng thứ 3 trong khu vực ASEAN</w:t>
      </w:r>
      <w:r w:rsidRPr="0075151A">
        <w:rPr>
          <w:rFonts w:eastAsia="Arial"/>
          <w:sz w:val="28"/>
          <w:szCs w:val="28"/>
        </w:rPr>
        <w:t xml:space="preserve">. </w:t>
      </w:r>
    </w:p>
    <w:p w14:paraId="3D4B36DF" w14:textId="66542270" w:rsidR="008D0DD8" w:rsidRPr="00587071" w:rsidRDefault="008D0DD8" w:rsidP="006E0719">
      <w:pPr>
        <w:spacing w:before="80"/>
        <w:ind w:firstLine="567"/>
        <w:jc w:val="both"/>
        <w:rPr>
          <w:rFonts w:eastAsia="Arial"/>
          <w:sz w:val="28"/>
          <w:szCs w:val="28"/>
        </w:rPr>
      </w:pPr>
      <w:r w:rsidRPr="00587071">
        <w:rPr>
          <w:sz w:val="28"/>
          <w:szCs w:val="28"/>
          <w:lang w:val="vi"/>
        </w:rPr>
        <w:t>Hút thuốc lá gây ra nhiều bệnh mạn tính</w:t>
      </w:r>
      <w:r w:rsidRPr="00587071">
        <w:rPr>
          <w:sz w:val="28"/>
          <w:szCs w:val="28"/>
        </w:rPr>
        <w:t>, bệnh</w:t>
      </w:r>
      <w:r w:rsidRPr="00587071">
        <w:rPr>
          <w:sz w:val="28"/>
          <w:szCs w:val="28"/>
          <w:lang w:val="vi"/>
        </w:rPr>
        <w:t xml:space="preserve"> nan y; là nguyên nhân gây tử vong hàng đầu nhưng hoàn toàn có thể phòng tránh được. Bên cạnh các tác hại về sức khoẻ, thuốc lá còn gây ra tổn thất về kinh tế đối với cá nhân, gia đình</w:t>
      </w:r>
      <w:r w:rsidRPr="00587071">
        <w:rPr>
          <w:sz w:val="28"/>
          <w:szCs w:val="28"/>
        </w:rPr>
        <w:t xml:space="preserve">, </w:t>
      </w:r>
      <w:r w:rsidRPr="00587071">
        <w:rPr>
          <w:sz w:val="28"/>
          <w:szCs w:val="28"/>
          <w:lang w:val="vi"/>
        </w:rPr>
        <w:t xml:space="preserve">xã hội và môi trường. </w:t>
      </w:r>
      <w:r w:rsidRPr="00587071">
        <w:rPr>
          <w:rFonts w:eastAsia="Arial"/>
          <w:sz w:val="28"/>
          <w:szCs w:val="28"/>
        </w:rPr>
        <w:t>Theo ước tính từ Nghiên cứu Gánh nặng Bệnh tật Toàn cầu (Global Burden of Disease Study) mới nhất được WHO trích dẫn, hút thuốc lá đã giết chết 10</w:t>
      </w:r>
      <w:r w:rsidR="009D3831">
        <w:rPr>
          <w:rFonts w:eastAsia="Arial"/>
          <w:sz w:val="28"/>
          <w:szCs w:val="28"/>
        </w:rPr>
        <w:t>3</w:t>
      </w:r>
      <w:r w:rsidRPr="00587071">
        <w:rPr>
          <w:rFonts w:eastAsia="Arial"/>
          <w:sz w:val="28"/>
          <w:szCs w:val="28"/>
        </w:rPr>
        <w:t>.000 người mỗi năm tại Việt Nam</w:t>
      </w:r>
      <w:r w:rsidR="009D3831">
        <w:rPr>
          <w:rFonts w:eastAsia="Arial"/>
          <w:sz w:val="28"/>
          <w:szCs w:val="28"/>
        </w:rPr>
        <w:t>, t</w:t>
      </w:r>
      <w:r w:rsidRPr="00587071">
        <w:rPr>
          <w:rFonts w:eastAsia="Arial"/>
          <w:sz w:val="28"/>
          <w:szCs w:val="28"/>
        </w:rPr>
        <w:t xml:space="preserve">rong đó, có 84.500 </w:t>
      </w:r>
      <w:r w:rsidR="009D3831">
        <w:rPr>
          <w:rFonts w:eastAsia="Arial"/>
          <w:sz w:val="28"/>
          <w:szCs w:val="28"/>
        </w:rPr>
        <w:t>ca tử vong do</w:t>
      </w:r>
      <w:r w:rsidRPr="00587071">
        <w:rPr>
          <w:rFonts w:eastAsia="Arial"/>
          <w:sz w:val="28"/>
          <w:szCs w:val="28"/>
        </w:rPr>
        <w:t xml:space="preserve"> hút thuốc chủ động và 18.800 người tử vong do </w:t>
      </w:r>
      <w:r w:rsidR="009D3831">
        <w:rPr>
          <w:rFonts w:eastAsia="Arial"/>
          <w:sz w:val="28"/>
          <w:szCs w:val="28"/>
        </w:rPr>
        <w:t>các bệnh liên quan đến hút thuốc</w:t>
      </w:r>
      <w:r w:rsidRPr="00587071">
        <w:rPr>
          <w:rFonts w:eastAsia="Arial"/>
          <w:sz w:val="28"/>
          <w:szCs w:val="28"/>
        </w:rPr>
        <w:t xml:space="preserve"> thụ động</w:t>
      </w:r>
      <w:r w:rsidRPr="00587071">
        <w:rPr>
          <w:rStyle w:val="FootnoteReference"/>
          <w:rFonts w:eastAsia="Arial"/>
          <w:sz w:val="28"/>
          <w:szCs w:val="28"/>
        </w:rPr>
        <w:footnoteReference w:id="21"/>
      </w:r>
      <w:r w:rsidR="00565DDA">
        <w:rPr>
          <w:rFonts w:eastAsia="Arial"/>
          <w:sz w:val="28"/>
          <w:szCs w:val="28"/>
        </w:rPr>
        <w:t>.</w:t>
      </w:r>
      <w:r w:rsidRPr="00587071">
        <w:rPr>
          <w:rFonts w:eastAsia="Arial"/>
          <w:sz w:val="28"/>
          <w:szCs w:val="28"/>
        </w:rPr>
        <w:t xml:space="preserve"> </w:t>
      </w:r>
    </w:p>
    <w:p w14:paraId="0984E1BB" w14:textId="5A95C269" w:rsidR="008D0DD8" w:rsidRPr="00587071" w:rsidRDefault="008D0DD8" w:rsidP="006E0719">
      <w:pPr>
        <w:shd w:val="clear" w:color="auto" w:fill="FFFFFF"/>
        <w:spacing w:before="80"/>
        <w:ind w:firstLine="567"/>
        <w:jc w:val="both"/>
        <w:rPr>
          <w:sz w:val="28"/>
          <w:szCs w:val="28"/>
        </w:rPr>
      </w:pPr>
      <w:r w:rsidRPr="00587071">
        <w:rPr>
          <w:rFonts w:eastAsia="Arial"/>
          <w:sz w:val="28"/>
          <w:szCs w:val="28"/>
          <w:lang w:val="pt-BR"/>
        </w:rPr>
        <w:t>Theo WHO, trong năm 2024 ước tính chi phí y tế và kinh tế hàng năm do thuốc lá gây ra ở Việt Nam lên tới 108.700 tỷ đồ</w:t>
      </w:r>
      <w:r w:rsidR="00565DDA">
        <w:rPr>
          <w:rFonts w:eastAsia="Arial"/>
          <w:sz w:val="28"/>
          <w:szCs w:val="28"/>
          <w:lang w:val="pt-BR"/>
        </w:rPr>
        <w:t>ng, tương đương 1,14% GDP</w:t>
      </w:r>
      <w:r w:rsidRPr="00587071">
        <w:rPr>
          <w:rFonts w:eastAsia="Arial"/>
          <w:sz w:val="28"/>
          <w:szCs w:val="28"/>
          <w:vertAlign w:val="superscript"/>
          <w:lang w:val="pt-BR"/>
        </w:rPr>
        <w:t>4</w:t>
      </w:r>
      <w:r w:rsidR="00565DDA">
        <w:rPr>
          <w:rFonts w:eastAsia="Arial"/>
          <w:sz w:val="28"/>
          <w:szCs w:val="28"/>
          <w:lang w:val="pt-BR"/>
        </w:rPr>
        <w:t xml:space="preserve">. </w:t>
      </w:r>
      <w:r w:rsidRPr="00587071">
        <w:rPr>
          <w:rFonts w:eastAsia="Arial"/>
          <w:sz w:val="28"/>
          <w:szCs w:val="28"/>
          <w:lang w:val="pt-BR"/>
        </w:rPr>
        <w:t>Con số này bao gồm cả tổn thất về số lượng và chất lượng lao động do bệnh tật và tử vong sớm. Ngoài ra, chi phí ô nhiễm môi trường do thuốc lá (phá rừng, rác thải nhựa, ô nhiễm nước biển...) ước tính là 99.000 tỷ đồng/năm (tương đương 1,04% GDP). Tổng cộng, thuốc lá "đốt" hơn 2% GDP mỗi năm, tạo gánh nặng kép lên y tế và môi trường. Việc sử dụng thuốc lá cũng có tác động tiêu cực đến các hộ nghèo và gia tăng bất bình đẳng xã hội. Nghiên cứu cho thấy các hộ gia đình có người hút thuốc phải chi tiêu một phần đáng kể thu nhập cho thuốc lá, làm giảm khả năng chi tiêu cho các nhu cầu thiết yếu khác như y tế, giáo dục và dinh dưỡng; đẩy nhiều hộ vào tình trạ</w:t>
      </w:r>
      <w:r w:rsidR="00565DDA">
        <w:rPr>
          <w:rFonts w:eastAsia="Arial"/>
          <w:sz w:val="28"/>
          <w:szCs w:val="28"/>
          <w:lang w:val="pt-BR"/>
        </w:rPr>
        <w:t>ng nghèo đói</w:t>
      </w:r>
      <w:r w:rsidRPr="00587071">
        <w:rPr>
          <w:rStyle w:val="FootnoteReference"/>
          <w:rFonts w:eastAsia="Arial"/>
          <w:sz w:val="28"/>
          <w:szCs w:val="28"/>
          <w:lang w:val="pt-BR"/>
        </w:rPr>
        <w:footnoteReference w:id="22"/>
      </w:r>
      <w:r w:rsidR="00565DDA">
        <w:rPr>
          <w:rFonts w:eastAsia="Arial"/>
          <w:sz w:val="28"/>
          <w:szCs w:val="28"/>
          <w:lang w:val="pt-BR"/>
        </w:rPr>
        <w:t>.</w:t>
      </w:r>
      <w:r w:rsidRPr="00587071">
        <w:rPr>
          <w:rFonts w:eastAsia="Arial"/>
          <w:sz w:val="28"/>
          <w:szCs w:val="28"/>
          <w:lang w:val="pt-BR"/>
        </w:rPr>
        <w:t xml:space="preserve"> </w:t>
      </w:r>
    </w:p>
    <w:p w14:paraId="49D478CF" w14:textId="49788D23" w:rsidR="008D0DD8" w:rsidRPr="00587071" w:rsidRDefault="008D0DD8" w:rsidP="006E0719">
      <w:pPr>
        <w:spacing w:before="80"/>
        <w:ind w:firstLine="567"/>
        <w:jc w:val="both"/>
        <w:rPr>
          <w:rFonts w:eastAsia="Arial"/>
          <w:sz w:val="28"/>
          <w:szCs w:val="28"/>
          <w:lang w:val="pt-BR"/>
        </w:rPr>
      </w:pPr>
      <w:r w:rsidRPr="00587071">
        <w:rPr>
          <w:color w:val="000000"/>
          <w:sz w:val="28"/>
          <w:szCs w:val="28"/>
        </w:rPr>
        <w:t>Do vậy, cần</w:t>
      </w:r>
      <w:r w:rsidR="005B4BB1" w:rsidRPr="00587071">
        <w:rPr>
          <w:color w:val="000000"/>
          <w:sz w:val="28"/>
          <w:szCs w:val="28"/>
        </w:rPr>
        <w:t xml:space="preserve"> tiếp tục hoàn thiện</w:t>
      </w:r>
      <w:r w:rsidRPr="00587071">
        <w:rPr>
          <w:color w:val="000000"/>
          <w:sz w:val="28"/>
          <w:szCs w:val="28"/>
        </w:rPr>
        <w:t xml:space="preserve"> </w:t>
      </w:r>
      <w:r w:rsidR="005B4BB1" w:rsidRPr="00587071">
        <w:rPr>
          <w:color w:val="000000"/>
          <w:sz w:val="28"/>
          <w:szCs w:val="28"/>
        </w:rPr>
        <w:t xml:space="preserve">và tăng cường thực thi </w:t>
      </w:r>
      <w:r w:rsidRPr="00587071">
        <w:rPr>
          <w:color w:val="000000"/>
          <w:sz w:val="28"/>
          <w:szCs w:val="28"/>
        </w:rPr>
        <w:t>chính sách để giảm tỷ lệ hút thuốc lá nhằm đạt được mục tiêu đến năm 2030:</w:t>
      </w:r>
      <w:r w:rsidRPr="00587071">
        <w:rPr>
          <w:rFonts w:eastAsia="Arial"/>
          <w:sz w:val="28"/>
          <w:szCs w:val="28"/>
          <w:lang w:val="pt-BR"/>
        </w:rPr>
        <w:t xml:space="preserve"> Giảm tỷ lệ sử dụng thuốc lá trong nhóm nam từ 15 tuổi trở lên xuống dưới 36 %; nhóm nữ từ 15 tuổi trở lên xuống dưới 1%; giảm tỷ lệ tiếp xúc thụ động với khói thuốc lá tại nơi làm việc xuống dưới 25%; tại nhà hàng xuống dưới 65%; tại quán bar, cà phê xuống dướ</w:t>
      </w:r>
      <w:r w:rsidR="0062627C">
        <w:rPr>
          <w:rFonts w:eastAsia="Arial"/>
          <w:sz w:val="28"/>
          <w:szCs w:val="28"/>
          <w:lang w:val="pt-BR"/>
        </w:rPr>
        <w:t>i 70%;</w:t>
      </w:r>
      <w:r w:rsidRPr="00587071">
        <w:rPr>
          <w:rFonts w:eastAsia="Arial"/>
          <w:sz w:val="28"/>
          <w:szCs w:val="28"/>
          <w:lang w:val="pt-BR"/>
        </w:rPr>
        <w:t xml:space="preserve"> tại khách sạn xuống dưới 50%</w:t>
      </w:r>
      <w:r w:rsidRPr="00587071">
        <w:rPr>
          <w:color w:val="000000"/>
          <w:sz w:val="28"/>
          <w:szCs w:val="28"/>
        </w:rPr>
        <w:t xml:space="preserve"> đã được đề ra tại Quyết định 568/QĐ-TTg</w:t>
      </w:r>
      <w:r w:rsidR="005B4BB1" w:rsidRPr="00587071">
        <w:rPr>
          <w:rFonts w:eastAsia="Arial"/>
          <w:sz w:val="28"/>
          <w:szCs w:val="28"/>
          <w:lang w:val="pt-BR"/>
        </w:rPr>
        <w:t xml:space="preserve"> của Thủ tướng Chính phủ về Chiến lược quốc gia về </w:t>
      </w:r>
      <w:r w:rsidR="00A60136">
        <w:rPr>
          <w:rFonts w:eastAsia="Arial"/>
          <w:sz w:val="28"/>
          <w:szCs w:val="28"/>
          <w:lang w:val="pt-BR"/>
        </w:rPr>
        <w:t>PCTH</w:t>
      </w:r>
      <w:r w:rsidR="005B4BB1" w:rsidRPr="00587071">
        <w:rPr>
          <w:rFonts w:eastAsia="Arial"/>
          <w:sz w:val="28"/>
          <w:szCs w:val="28"/>
          <w:lang w:val="pt-BR"/>
        </w:rPr>
        <w:t xml:space="preserve"> thuốc lá đến năm 2030.</w:t>
      </w:r>
    </w:p>
    <w:p w14:paraId="6265357C" w14:textId="62146201" w:rsidR="00A25DB3" w:rsidRPr="00587071" w:rsidRDefault="008D0DD8" w:rsidP="006E0719">
      <w:pPr>
        <w:widowControl w:val="0"/>
        <w:pBdr>
          <w:top w:val="nil"/>
          <w:left w:val="nil"/>
          <w:bottom w:val="nil"/>
          <w:right w:val="nil"/>
          <w:between w:val="nil"/>
        </w:pBdr>
        <w:spacing w:before="80"/>
        <w:ind w:firstLine="567"/>
        <w:jc w:val="both"/>
        <w:rPr>
          <w:b/>
          <w:bCs/>
          <w:sz w:val="28"/>
          <w:szCs w:val="28"/>
        </w:rPr>
      </w:pPr>
      <w:r w:rsidRPr="00587071">
        <w:rPr>
          <w:rFonts w:eastAsia="Arial"/>
          <w:spacing w:val="-2"/>
          <w:sz w:val="28"/>
          <w:szCs w:val="28"/>
          <w:lang w:val="pt-BR"/>
        </w:rPr>
        <w:lastRenderedPageBreak/>
        <w:t xml:space="preserve">Qua nghiên cứu kinh nghiệm của các nước trên thế giới và thực tiễn trong nước </w:t>
      </w:r>
      <w:r w:rsidR="00BF403B" w:rsidRPr="00587071">
        <w:rPr>
          <w:rFonts w:eastAsia="Arial"/>
          <w:spacing w:val="-2"/>
          <w:sz w:val="28"/>
          <w:szCs w:val="28"/>
          <w:lang w:val="pt-BR"/>
        </w:rPr>
        <w:t>và khuyến cáo của Tổ chức Y tế</w:t>
      </w:r>
      <w:r w:rsidR="00932F9D">
        <w:rPr>
          <w:rFonts w:eastAsia="Arial"/>
          <w:spacing w:val="-2"/>
          <w:sz w:val="28"/>
          <w:szCs w:val="28"/>
          <w:lang w:val="pt-BR"/>
        </w:rPr>
        <w:t xml:space="preserve"> T</w:t>
      </w:r>
      <w:r w:rsidR="00BF403B" w:rsidRPr="00587071">
        <w:rPr>
          <w:rFonts w:eastAsia="Arial"/>
          <w:spacing w:val="-2"/>
          <w:sz w:val="28"/>
          <w:szCs w:val="28"/>
          <w:lang w:val="pt-BR"/>
        </w:rPr>
        <w:t xml:space="preserve">hế giới </w:t>
      </w:r>
      <w:r w:rsidRPr="00587071">
        <w:rPr>
          <w:rFonts w:eastAsia="Arial"/>
          <w:spacing w:val="-2"/>
          <w:sz w:val="28"/>
          <w:szCs w:val="28"/>
          <w:lang w:val="pt-BR"/>
        </w:rPr>
        <w:t>cho thấy</w:t>
      </w:r>
      <w:r w:rsidR="005B4BB1" w:rsidRPr="00587071">
        <w:rPr>
          <w:rFonts w:eastAsia="Arial"/>
          <w:spacing w:val="-2"/>
          <w:sz w:val="28"/>
          <w:szCs w:val="28"/>
          <w:lang w:val="pt-BR"/>
        </w:rPr>
        <w:t xml:space="preserve">, một số chính sách </w:t>
      </w:r>
      <w:r w:rsidR="00BF403B" w:rsidRPr="00587071">
        <w:rPr>
          <w:rFonts w:eastAsia="Arial"/>
          <w:spacing w:val="-2"/>
          <w:sz w:val="28"/>
          <w:szCs w:val="28"/>
          <w:lang w:val="pt-BR"/>
        </w:rPr>
        <w:t xml:space="preserve">PCTH thuốc lá trọng tâm năm 2026 </w:t>
      </w:r>
      <w:r w:rsidR="005B4BB1" w:rsidRPr="00587071">
        <w:rPr>
          <w:rFonts w:eastAsia="Arial"/>
          <w:spacing w:val="-2"/>
          <w:sz w:val="28"/>
          <w:szCs w:val="28"/>
          <w:lang w:val="pt-BR"/>
        </w:rPr>
        <w:t xml:space="preserve">bao gồm:  </w:t>
      </w:r>
      <w:r w:rsidR="00B76178" w:rsidRPr="00587071">
        <w:rPr>
          <w:rFonts w:eastAsia="Arial"/>
          <w:spacing w:val="-2"/>
          <w:sz w:val="28"/>
          <w:szCs w:val="28"/>
          <w:lang w:val="pt-BR"/>
        </w:rPr>
        <w:t xml:space="preserve"> </w:t>
      </w:r>
    </w:p>
    <w:p w14:paraId="4BC33A38" w14:textId="4DEC1D12" w:rsidR="007253A7" w:rsidRPr="00587071" w:rsidRDefault="00B71239" w:rsidP="006E0719">
      <w:pPr>
        <w:pStyle w:val="Heading3"/>
        <w:spacing w:before="80"/>
        <w:ind w:firstLine="567"/>
        <w:jc w:val="both"/>
        <w:rPr>
          <w:rFonts w:ascii="Times New Roman" w:hAnsi="Times New Roman" w:cs="Times New Roman"/>
          <w:b/>
          <w:bCs/>
          <w:iCs/>
          <w:color w:val="auto"/>
          <w:sz w:val="28"/>
          <w:szCs w:val="28"/>
        </w:rPr>
      </w:pPr>
      <w:r>
        <w:rPr>
          <w:rFonts w:ascii="Times New Roman" w:hAnsi="Times New Roman" w:cs="Times New Roman"/>
          <w:b/>
          <w:bCs/>
          <w:iCs/>
          <w:color w:val="auto"/>
          <w:sz w:val="28"/>
          <w:szCs w:val="28"/>
        </w:rPr>
        <w:t>2</w:t>
      </w:r>
      <w:r w:rsidR="005B4BB1" w:rsidRPr="00587071">
        <w:rPr>
          <w:rFonts w:ascii="Times New Roman" w:hAnsi="Times New Roman" w:cs="Times New Roman"/>
          <w:b/>
          <w:bCs/>
          <w:iCs/>
          <w:color w:val="auto"/>
          <w:sz w:val="28"/>
          <w:szCs w:val="28"/>
        </w:rPr>
        <w:t xml:space="preserve">.1. </w:t>
      </w:r>
      <w:r w:rsidR="02A8ED90" w:rsidRPr="00587071">
        <w:rPr>
          <w:rFonts w:ascii="Times New Roman" w:hAnsi="Times New Roman" w:cs="Times New Roman"/>
          <w:b/>
          <w:bCs/>
          <w:iCs/>
          <w:color w:val="auto"/>
          <w:sz w:val="28"/>
          <w:szCs w:val="28"/>
        </w:rPr>
        <w:t>Chính sách môi trường không khói thuốc hoàn toàn (100%) tại các địa điểm công cộng</w:t>
      </w:r>
    </w:p>
    <w:p w14:paraId="1B9D446C" w14:textId="2B549765" w:rsidR="007253A7" w:rsidRPr="00587071" w:rsidRDefault="007253A7" w:rsidP="006E0719">
      <w:pPr>
        <w:pStyle w:val="NormalWeb"/>
        <w:spacing w:before="80" w:beforeAutospacing="0" w:after="0" w:afterAutospacing="0"/>
        <w:ind w:firstLine="567"/>
        <w:jc w:val="both"/>
        <w:rPr>
          <w:sz w:val="28"/>
          <w:szCs w:val="28"/>
        </w:rPr>
      </w:pPr>
      <w:r w:rsidRPr="00587071">
        <w:rPr>
          <w:sz w:val="28"/>
          <w:szCs w:val="28"/>
        </w:rPr>
        <w:t xml:space="preserve">Tổ chức Y tế Thế giới khẳng định chỉ có môi trường hoàn toàn không khói thuốc mới bảo vệ hiệu quả sức khỏe cộng đồng. Các giải pháp trung gian như khu vực dành riêng cho người hút thuốc hay hệ thống thông gió đều không thể ngăn chặn bụi mịn </w:t>
      </w:r>
      <w:r w:rsidRPr="00587071">
        <w:rPr>
          <w:rStyle w:val="math-inline"/>
          <w:rFonts w:eastAsia="Calibri"/>
          <w:sz w:val="28"/>
          <w:szCs w:val="28"/>
        </w:rPr>
        <w:t>PM2.5</w:t>
      </w:r>
      <w:r w:rsidR="00EC1B1D" w:rsidRPr="00587071">
        <w:rPr>
          <w:rStyle w:val="math-inline"/>
          <w:rFonts w:eastAsia="Calibri"/>
          <w:sz w:val="28"/>
          <w:szCs w:val="28"/>
          <w:lang w:val="vi-VN"/>
        </w:rPr>
        <w:t xml:space="preserve"> </w:t>
      </w:r>
      <w:r w:rsidRPr="00587071">
        <w:rPr>
          <w:sz w:val="28"/>
          <w:szCs w:val="28"/>
        </w:rPr>
        <w:t>và các chất gây ung thư khuếch tán qua hệ thống điều hòa trung tâm</w:t>
      </w:r>
      <w:r w:rsidR="003B3EAF">
        <w:rPr>
          <w:rStyle w:val="FootnoteReference"/>
          <w:sz w:val="28"/>
          <w:szCs w:val="28"/>
        </w:rPr>
        <w:footnoteReference w:id="23"/>
      </w:r>
      <w:r w:rsidR="003B3EAF">
        <w:rPr>
          <w:sz w:val="28"/>
          <w:szCs w:val="28"/>
        </w:rPr>
        <w:t xml:space="preserve">. </w:t>
      </w:r>
      <w:r w:rsidRPr="00587071">
        <w:rPr>
          <w:sz w:val="28"/>
          <w:szCs w:val="28"/>
        </w:rPr>
        <w:t xml:space="preserve">Đến năm 2024, đã có 79 quốc gia ban hành lệnh cấm tuyệt đối trong nhà để bảo vệ người dân, hỗ trợ người cai thuốc và </w:t>
      </w:r>
      <w:r w:rsidR="00935EC4">
        <w:rPr>
          <w:sz w:val="28"/>
          <w:szCs w:val="28"/>
        </w:rPr>
        <w:t>giảm tỷ lệ hút thuốc ở giới trẻ</w:t>
      </w:r>
      <w:r w:rsidR="003B3EAF">
        <w:rPr>
          <w:rStyle w:val="FootnoteReference"/>
          <w:sz w:val="28"/>
          <w:szCs w:val="28"/>
        </w:rPr>
        <w:footnoteReference w:id="24"/>
      </w:r>
      <w:r w:rsidR="00935EC4">
        <w:rPr>
          <w:sz w:val="28"/>
          <w:szCs w:val="28"/>
        </w:rPr>
        <w:t>.</w:t>
      </w:r>
    </w:p>
    <w:p w14:paraId="768391B1" w14:textId="3DCFADFA" w:rsidR="00C12BB1" w:rsidRPr="00587071" w:rsidRDefault="007253A7" w:rsidP="006E0719">
      <w:pPr>
        <w:pStyle w:val="NormalWeb"/>
        <w:spacing w:before="80" w:beforeAutospacing="0" w:after="0" w:afterAutospacing="0"/>
        <w:ind w:firstLine="567"/>
        <w:jc w:val="both"/>
        <w:rPr>
          <w:sz w:val="28"/>
          <w:szCs w:val="28"/>
        </w:rPr>
      </w:pPr>
      <w:r w:rsidRPr="00587071">
        <w:rPr>
          <w:sz w:val="28"/>
          <w:szCs w:val="28"/>
        </w:rPr>
        <w:t>Nhiều nghiên cứu quốc tế tại Mỹ, Ireland, Thái Lan và Singapore đã chứng minh quy định cấm hút thuốc 100% không gây tác động tiêu cực đến doanh thu hay việc làm</w:t>
      </w:r>
      <w:r w:rsidR="00935EC4">
        <w:rPr>
          <w:sz w:val="28"/>
          <w:szCs w:val="28"/>
        </w:rPr>
        <w:t xml:space="preserve"> trong ngành dịch vụ, khách sạn</w:t>
      </w:r>
      <w:r w:rsidR="003B3EAF">
        <w:rPr>
          <w:rStyle w:val="FootnoteReference"/>
          <w:sz w:val="28"/>
          <w:szCs w:val="28"/>
        </w:rPr>
        <w:footnoteReference w:id="25"/>
      </w:r>
      <w:r w:rsidR="003B3EAF">
        <w:rPr>
          <w:sz w:val="28"/>
          <w:szCs w:val="28"/>
        </w:rPr>
        <w:t xml:space="preserve">. </w:t>
      </w:r>
      <w:r w:rsidRPr="00587071">
        <w:rPr>
          <w:sz w:val="28"/>
          <w:szCs w:val="28"/>
        </w:rPr>
        <w:t>Ngược lại, chính sách này</w:t>
      </w:r>
      <w:r w:rsidR="00935EC4">
        <w:rPr>
          <w:sz w:val="28"/>
          <w:szCs w:val="28"/>
        </w:rPr>
        <w:t xml:space="preserve"> còn giúp doanh nghiệp giảm 10%</w:t>
      </w:r>
      <w:r w:rsidR="003B3EAF">
        <w:rPr>
          <w:rStyle w:val="FootnoteReference"/>
          <w:sz w:val="28"/>
          <w:szCs w:val="28"/>
        </w:rPr>
        <w:footnoteReference w:id="26"/>
      </w:r>
      <w:r w:rsidR="00935EC4">
        <w:rPr>
          <w:sz w:val="28"/>
          <w:szCs w:val="28"/>
        </w:rPr>
        <w:t xml:space="preserve"> </w:t>
      </w:r>
      <w:r w:rsidRPr="00587071">
        <w:rPr>
          <w:sz w:val="28"/>
          <w:szCs w:val="28"/>
        </w:rPr>
        <w:t>chi phí vệ sinh, hạn chế nguy cơ cháy nổ và thu hút khách hàng gia.</w:t>
      </w:r>
      <w:r w:rsidR="00B76178" w:rsidRPr="00587071">
        <w:rPr>
          <w:sz w:val="28"/>
          <w:szCs w:val="28"/>
        </w:rPr>
        <w:t xml:space="preserve"> </w:t>
      </w:r>
    </w:p>
    <w:p w14:paraId="00A865E7" w14:textId="41D73B2C" w:rsidR="00D942E4" w:rsidRPr="00587071" w:rsidRDefault="007253A7" w:rsidP="006E0719">
      <w:pPr>
        <w:pStyle w:val="NormalWeb"/>
        <w:spacing w:before="80" w:beforeAutospacing="0" w:after="0" w:afterAutospacing="0"/>
        <w:ind w:firstLine="567"/>
        <w:jc w:val="both"/>
        <w:rPr>
          <w:sz w:val="28"/>
          <w:szCs w:val="28"/>
        </w:rPr>
      </w:pPr>
      <w:r w:rsidRPr="00587071">
        <w:rPr>
          <w:sz w:val="28"/>
          <w:szCs w:val="28"/>
        </w:rPr>
        <w:t>Việc bỏ các khu vực hút thuốc riêng</w:t>
      </w:r>
      <w:r w:rsidR="0020510F" w:rsidRPr="00587071">
        <w:rPr>
          <w:sz w:val="28"/>
          <w:szCs w:val="28"/>
        </w:rPr>
        <w:t xml:space="preserve">, </w:t>
      </w:r>
      <w:r w:rsidR="00E7217F" w:rsidRPr="00587071">
        <w:rPr>
          <w:sz w:val="28"/>
          <w:szCs w:val="28"/>
        </w:rPr>
        <w:t xml:space="preserve">thực hiện môi trường 100% không </w:t>
      </w:r>
      <w:r w:rsidR="004823E0" w:rsidRPr="00587071">
        <w:rPr>
          <w:sz w:val="28"/>
          <w:szCs w:val="28"/>
        </w:rPr>
        <w:t>khói</w:t>
      </w:r>
      <w:r w:rsidR="00E7217F" w:rsidRPr="00587071">
        <w:rPr>
          <w:sz w:val="28"/>
          <w:szCs w:val="28"/>
        </w:rPr>
        <w:t xml:space="preserve"> thuốc </w:t>
      </w:r>
      <w:r w:rsidRPr="00587071">
        <w:rPr>
          <w:sz w:val="28"/>
          <w:szCs w:val="28"/>
        </w:rPr>
        <w:t>giúp công tác thực thi trở nên đơn giản, minh bạch</w:t>
      </w:r>
      <w:r w:rsidR="00C12BB1" w:rsidRPr="00587071">
        <w:rPr>
          <w:sz w:val="28"/>
          <w:szCs w:val="28"/>
        </w:rPr>
        <w:t xml:space="preserve">, </w:t>
      </w:r>
      <w:r w:rsidRPr="00587071">
        <w:rPr>
          <w:sz w:val="28"/>
          <w:szCs w:val="28"/>
        </w:rPr>
        <w:t>bảo vệ quyền được hít thở không khí trong lành của mọi công dân</w:t>
      </w:r>
      <w:r w:rsidR="00D942E4" w:rsidRPr="00587071">
        <w:rPr>
          <w:sz w:val="28"/>
          <w:szCs w:val="28"/>
          <w:lang w:val="vi-VN"/>
        </w:rPr>
        <w:t xml:space="preserve">, </w:t>
      </w:r>
      <w:r w:rsidR="00D942E4" w:rsidRPr="00587071">
        <w:rPr>
          <w:sz w:val="28"/>
          <w:szCs w:val="28"/>
        </w:rPr>
        <w:t xml:space="preserve">giúp bảo vệ phụ nữ và trẻ em khỏi khói thuốc thụ động, giảm sự “bình thường hóa” của hành vi hút thuốc </w:t>
      </w:r>
      <w:r w:rsidR="00C12BB1" w:rsidRPr="00587071">
        <w:rPr>
          <w:sz w:val="28"/>
          <w:szCs w:val="28"/>
        </w:rPr>
        <w:t>trong cộng đồng</w:t>
      </w:r>
      <w:r w:rsidR="004823E0" w:rsidRPr="00587071">
        <w:rPr>
          <w:sz w:val="28"/>
          <w:szCs w:val="28"/>
        </w:rPr>
        <w:t>, đặc biệt tại các địa điểm hiện còn cho phép có nơi dành riêng cho người hút thuốc như tại sân bay, khách sạn, cơ sở lưu trú du lịch, tàu thủy và tàu hỏa, …</w:t>
      </w:r>
    </w:p>
    <w:p w14:paraId="62EB43FE" w14:textId="60B9C2E4" w:rsidR="00557633" w:rsidRPr="00587071" w:rsidRDefault="00B71239" w:rsidP="006E0719">
      <w:pPr>
        <w:pStyle w:val="NormalWeb"/>
        <w:spacing w:before="80" w:beforeAutospacing="0" w:after="0" w:afterAutospacing="0"/>
        <w:ind w:firstLine="567"/>
        <w:jc w:val="both"/>
        <w:rPr>
          <w:b/>
          <w:bCs/>
          <w:iCs/>
          <w:sz w:val="28"/>
          <w:szCs w:val="28"/>
          <w:lang w:val="vi-VN"/>
        </w:rPr>
      </w:pPr>
      <w:r>
        <w:rPr>
          <w:b/>
          <w:bCs/>
          <w:iCs/>
          <w:sz w:val="28"/>
          <w:szCs w:val="28"/>
        </w:rPr>
        <w:t>2</w:t>
      </w:r>
      <w:r w:rsidR="00A012E9" w:rsidRPr="00587071">
        <w:rPr>
          <w:b/>
          <w:bCs/>
          <w:iCs/>
          <w:sz w:val="28"/>
          <w:szCs w:val="28"/>
        </w:rPr>
        <w:t xml:space="preserve">.2. </w:t>
      </w:r>
      <w:r w:rsidR="00D942E4" w:rsidRPr="00587071">
        <w:rPr>
          <w:b/>
          <w:bCs/>
          <w:iCs/>
          <w:sz w:val="28"/>
          <w:szCs w:val="28"/>
          <w:lang w:val="vi-VN"/>
        </w:rPr>
        <w:t>C</w:t>
      </w:r>
      <w:r w:rsidR="00D942E4" w:rsidRPr="00587071">
        <w:rPr>
          <w:b/>
          <w:bCs/>
          <w:iCs/>
          <w:sz w:val="28"/>
          <w:szCs w:val="28"/>
        </w:rPr>
        <w:t xml:space="preserve">hính sách </w:t>
      </w:r>
      <w:r w:rsidR="00A012E9" w:rsidRPr="00587071">
        <w:rPr>
          <w:b/>
          <w:bCs/>
          <w:iCs/>
          <w:sz w:val="28"/>
          <w:szCs w:val="28"/>
        </w:rPr>
        <w:t xml:space="preserve">in </w:t>
      </w:r>
      <w:r w:rsidR="00D942E4" w:rsidRPr="00587071">
        <w:rPr>
          <w:b/>
          <w:bCs/>
          <w:iCs/>
          <w:sz w:val="28"/>
          <w:szCs w:val="28"/>
        </w:rPr>
        <w:t xml:space="preserve">cảnh báo sức khỏe </w:t>
      </w:r>
      <w:r w:rsidR="00A012E9" w:rsidRPr="00587071">
        <w:rPr>
          <w:b/>
          <w:bCs/>
          <w:iCs/>
          <w:sz w:val="28"/>
          <w:szCs w:val="28"/>
        </w:rPr>
        <w:t xml:space="preserve">trên </w:t>
      </w:r>
      <w:r w:rsidR="00D942E4" w:rsidRPr="00587071">
        <w:rPr>
          <w:b/>
          <w:bCs/>
          <w:iCs/>
          <w:sz w:val="28"/>
          <w:szCs w:val="28"/>
        </w:rPr>
        <w:t>bao bì</w:t>
      </w:r>
      <w:r w:rsidR="00557633" w:rsidRPr="00587071">
        <w:rPr>
          <w:b/>
          <w:bCs/>
          <w:iCs/>
          <w:sz w:val="28"/>
          <w:szCs w:val="28"/>
          <w:lang w:val="vi-VN"/>
        </w:rPr>
        <w:t xml:space="preserve"> thuốc lá</w:t>
      </w:r>
    </w:p>
    <w:p w14:paraId="6D8AF883" w14:textId="0F9502F1" w:rsidR="00834FDE" w:rsidRPr="00587071" w:rsidRDefault="00834FDE" w:rsidP="006E0719">
      <w:pPr>
        <w:pStyle w:val="NormalWeb"/>
        <w:spacing w:before="80" w:beforeAutospacing="0" w:after="0" w:afterAutospacing="0"/>
        <w:ind w:firstLine="567"/>
        <w:jc w:val="both"/>
        <w:rPr>
          <w:sz w:val="28"/>
          <w:szCs w:val="28"/>
        </w:rPr>
      </w:pPr>
      <w:r w:rsidRPr="00587071">
        <w:rPr>
          <w:sz w:val="28"/>
          <w:szCs w:val="28"/>
        </w:rPr>
        <w:t>Bằng chứng toàn cầu cho thấy diện tích hình ảnh cảnh báo lớn là công cụ then chốt để thay đổi nhận thức và hành vi của người tiêu dùng. Việc tăng diện tích cảnh báo sức khỏe giúp giảm sức hấp dẫn của các sản phẩm thuốc lá, ngăn chặn các thông tin gây hiểu lầm và đặc biệt hiệu quả trong việc truyền tải</w:t>
      </w:r>
      <w:r w:rsidR="009C0833">
        <w:rPr>
          <w:sz w:val="28"/>
          <w:szCs w:val="28"/>
        </w:rPr>
        <w:t xml:space="preserve"> thông tin</w:t>
      </w:r>
      <w:r w:rsidRPr="00587071">
        <w:rPr>
          <w:sz w:val="28"/>
          <w:szCs w:val="28"/>
        </w:rPr>
        <w:t xml:space="preserve"> trực quan</w:t>
      </w:r>
      <w:r w:rsidR="009C0833">
        <w:rPr>
          <w:sz w:val="28"/>
          <w:szCs w:val="28"/>
        </w:rPr>
        <w:t xml:space="preserve"> về tác hại của thuốc lá</w:t>
      </w:r>
      <w:r w:rsidRPr="00587071">
        <w:rPr>
          <w:sz w:val="28"/>
          <w:szCs w:val="28"/>
        </w:rPr>
        <w:t xml:space="preserve"> đến trẻ em và người không biết chữ. Mỗi bao thuốc lá khi đó sẽ trở thành một “kênh truyền thông” miễn phí và trực tiếp của Nhà nước, góp phần quan trọng vào việc ngăn ngừa người trẻ bắt đầu hút thuốc và giảm gánh nặng chi phí </w:t>
      </w:r>
      <w:r w:rsidR="00935EC4">
        <w:rPr>
          <w:sz w:val="28"/>
          <w:szCs w:val="28"/>
        </w:rPr>
        <w:t>điều trị bệnh tật trong dài hạn</w:t>
      </w:r>
      <w:r w:rsidR="008C1249">
        <w:rPr>
          <w:rStyle w:val="FootnoteReference"/>
          <w:sz w:val="28"/>
          <w:szCs w:val="28"/>
        </w:rPr>
        <w:footnoteReference w:id="27"/>
      </w:r>
      <w:r w:rsidR="00935EC4">
        <w:rPr>
          <w:sz w:val="28"/>
          <w:szCs w:val="28"/>
        </w:rPr>
        <w:t>.</w:t>
      </w:r>
    </w:p>
    <w:p w14:paraId="0B614233" w14:textId="41B03F15" w:rsidR="00A012E9" w:rsidRPr="00587071" w:rsidRDefault="00834FDE" w:rsidP="006E0719">
      <w:pPr>
        <w:pStyle w:val="NormalWeb"/>
        <w:spacing w:before="80" w:beforeAutospacing="0" w:after="0" w:afterAutospacing="0"/>
        <w:ind w:firstLine="567"/>
        <w:jc w:val="both"/>
        <w:rPr>
          <w:sz w:val="28"/>
          <w:szCs w:val="28"/>
        </w:rPr>
      </w:pPr>
      <w:r w:rsidRPr="00587071">
        <w:rPr>
          <w:sz w:val="28"/>
          <w:szCs w:val="28"/>
        </w:rPr>
        <w:t xml:space="preserve">Tại Việt Nam, quy định diện tích cảnh báo hiện nay </w:t>
      </w:r>
      <w:r w:rsidR="00A012E9" w:rsidRPr="00587071">
        <w:rPr>
          <w:sz w:val="28"/>
          <w:szCs w:val="28"/>
        </w:rPr>
        <w:t xml:space="preserve">là </w:t>
      </w:r>
      <w:r w:rsidRPr="00587071">
        <w:rPr>
          <w:sz w:val="28"/>
          <w:szCs w:val="28"/>
        </w:rPr>
        <w:t>50%</w:t>
      </w:r>
      <w:r w:rsidR="00A012E9" w:rsidRPr="00587071">
        <w:rPr>
          <w:sz w:val="28"/>
          <w:szCs w:val="28"/>
        </w:rPr>
        <w:t>. Hiện Việt Nam</w:t>
      </w:r>
      <w:r w:rsidRPr="00587071">
        <w:rPr>
          <w:sz w:val="28"/>
          <w:szCs w:val="28"/>
        </w:rPr>
        <w:t xml:space="preserve"> nằm trong nhóm </w:t>
      </w:r>
      <w:r w:rsidR="00A012E9" w:rsidRPr="00587071">
        <w:rPr>
          <w:sz w:val="28"/>
          <w:szCs w:val="28"/>
        </w:rPr>
        <w:t xml:space="preserve">các nước </w:t>
      </w:r>
      <w:r w:rsidRPr="00587071">
        <w:rPr>
          <w:sz w:val="28"/>
          <w:szCs w:val="28"/>
        </w:rPr>
        <w:t xml:space="preserve">có tỷ lệ </w:t>
      </w:r>
      <w:r w:rsidR="00A012E9" w:rsidRPr="00587071">
        <w:rPr>
          <w:sz w:val="28"/>
          <w:szCs w:val="28"/>
        </w:rPr>
        <w:t xml:space="preserve">diện tích cảnh báo sức khoẻ </w:t>
      </w:r>
      <w:r w:rsidRPr="00587071">
        <w:rPr>
          <w:sz w:val="28"/>
          <w:szCs w:val="28"/>
        </w:rPr>
        <w:t>thấp nhất thế giới (xếp thứ 95/140 quốc g</w:t>
      </w:r>
      <w:r w:rsidR="00935EC4">
        <w:rPr>
          <w:sz w:val="28"/>
          <w:szCs w:val="28"/>
        </w:rPr>
        <w:t>ia) và thấp nhất khu vực ASEAN</w:t>
      </w:r>
      <w:r w:rsidR="008C1249">
        <w:rPr>
          <w:rStyle w:val="FootnoteReference"/>
          <w:sz w:val="28"/>
          <w:szCs w:val="28"/>
        </w:rPr>
        <w:footnoteReference w:id="28"/>
      </w:r>
      <w:r w:rsidR="00935EC4">
        <w:rPr>
          <w:sz w:val="28"/>
          <w:szCs w:val="28"/>
        </w:rPr>
        <w:t>.</w:t>
      </w:r>
    </w:p>
    <w:p w14:paraId="75E2FCF0" w14:textId="5FB11A09" w:rsidR="00657883" w:rsidRPr="00587071" w:rsidRDefault="00657883" w:rsidP="006E0719">
      <w:pPr>
        <w:pStyle w:val="NormalWeb"/>
        <w:spacing w:before="80" w:beforeAutospacing="0" w:after="0" w:afterAutospacing="0"/>
        <w:ind w:firstLine="567"/>
        <w:jc w:val="both"/>
        <w:rPr>
          <w:color w:val="000000"/>
          <w:sz w:val="28"/>
          <w:szCs w:val="28"/>
        </w:rPr>
      </w:pPr>
      <w:r w:rsidRPr="00587071">
        <w:rPr>
          <w:color w:val="000000"/>
          <w:sz w:val="28"/>
          <w:szCs w:val="28"/>
        </w:rPr>
        <w:lastRenderedPageBreak/>
        <w:t xml:space="preserve">Trong </w:t>
      </w:r>
      <w:r w:rsidR="00557633" w:rsidRPr="00587071">
        <w:rPr>
          <w:color w:val="000000"/>
          <w:sz w:val="28"/>
          <w:szCs w:val="28"/>
        </w:rPr>
        <w:t xml:space="preserve">khu vực ASEAN, 10 quốc gia đều đã in cảnh báo sức khỏe bằng hình ảnh trên cả mặt chính trước và sau của bao bì thuốc lá. Thái Lan, Lào, Singapore và Brunei là các nước dẫn đầu trong khu vực, với diện tích cảnh báo 85% ở Thái Lan và 75% ở Brunei, Singapore. </w:t>
      </w:r>
    </w:p>
    <w:p w14:paraId="570EC454" w14:textId="2D334647" w:rsidR="00C13FEE" w:rsidRPr="00587071" w:rsidRDefault="00557633" w:rsidP="006E0719">
      <w:pPr>
        <w:pStyle w:val="NormalWeb"/>
        <w:spacing w:before="80" w:beforeAutospacing="0" w:after="0" w:afterAutospacing="0"/>
        <w:ind w:firstLine="567"/>
        <w:jc w:val="both"/>
        <w:rPr>
          <w:color w:val="000000"/>
          <w:sz w:val="28"/>
          <w:szCs w:val="28"/>
        </w:rPr>
      </w:pPr>
      <w:r w:rsidRPr="00587071">
        <w:rPr>
          <w:color w:val="000000"/>
          <w:sz w:val="28"/>
          <w:szCs w:val="28"/>
        </w:rPr>
        <w:t xml:space="preserve">Không chỉ dừng ở cảnh báo hình ảnh </w:t>
      </w:r>
      <w:r w:rsidR="009D3831">
        <w:rPr>
          <w:color w:val="000000"/>
          <w:sz w:val="28"/>
          <w:szCs w:val="28"/>
        </w:rPr>
        <w:t xml:space="preserve">với diện tích </w:t>
      </w:r>
      <w:r w:rsidRPr="00587071">
        <w:rPr>
          <w:color w:val="000000"/>
          <w:sz w:val="28"/>
          <w:szCs w:val="28"/>
        </w:rPr>
        <w:t>lớn, nhiều quốc gia hiện đã tiến thêm một bước với bao bì tiêu chuẩn</w:t>
      </w:r>
      <w:r w:rsidR="009D3831">
        <w:rPr>
          <w:color w:val="000000"/>
          <w:sz w:val="28"/>
          <w:szCs w:val="28"/>
        </w:rPr>
        <w:t>/</w:t>
      </w:r>
      <w:r w:rsidRPr="00587071">
        <w:rPr>
          <w:color w:val="000000"/>
          <w:sz w:val="28"/>
          <w:szCs w:val="28"/>
        </w:rPr>
        <w:t>bao trơn.</w:t>
      </w:r>
      <w:r w:rsidR="00657883" w:rsidRPr="00587071">
        <w:rPr>
          <w:color w:val="000000"/>
          <w:sz w:val="28"/>
          <w:szCs w:val="28"/>
        </w:rPr>
        <w:t xml:space="preserve"> </w:t>
      </w:r>
      <w:r w:rsidRPr="00587071">
        <w:rPr>
          <w:color w:val="000000"/>
          <w:sz w:val="28"/>
          <w:szCs w:val="28"/>
        </w:rPr>
        <w:t xml:space="preserve">Trong khi đó, Việt Nam nằm trong số 3 quốc gia có diện tích cảnh báo thấp nhất khu vực ASEAN. </w:t>
      </w:r>
      <w:r w:rsidR="00C13FEE" w:rsidRPr="00587071">
        <w:rPr>
          <w:color w:val="000000"/>
          <w:sz w:val="28"/>
          <w:szCs w:val="28"/>
        </w:rPr>
        <w:t xml:space="preserve">Bên cạnh đó, hình ảnh và thông điệp về tác hại của thuốc lá đối với sức khỏe con người in trên bao bì các sản phẩm thuốc lá đã thực hiện 13 năm nhưng chưa có thay đổi về hình ảnh và nội dung. Theo kinh nghiệm của các nước việc không thay đổi, làm mới các hình ảnh và thông điệp in cảnh báo sức khỏe trên bao bì các sản phẩm thuốc lá sẽ dần làm mất tác dụng cảnh báo đối với người tiêu dùng. </w:t>
      </w:r>
    </w:p>
    <w:p w14:paraId="32A4FAC5" w14:textId="4E6F838B" w:rsidR="00834FDE" w:rsidRPr="00587071" w:rsidRDefault="00B71239" w:rsidP="006E0719">
      <w:pPr>
        <w:pStyle w:val="NormalWeb"/>
        <w:spacing w:before="80" w:beforeAutospacing="0" w:after="0" w:afterAutospacing="0"/>
        <w:ind w:firstLine="567"/>
        <w:jc w:val="both"/>
        <w:rPr>
          <w:sz w:val="28"/>
          <w:szCs w:val="28"/>
        </w:rPr>
      </w:pPr>
      <w:r>
        <w:rPr>
          <w:b/>
          <w:bCs/>
          <w:sz w:val="28"/>
          <w:szCs w:val="28"/>
        </w:rPr>
        <w:t>2</w:t>
      </w:r>
      <w:r w:rsidR="00C30A15" w:rsidRPr="00587071">
        <w:rPr>
          <w:b/>
          <w:bCs/>
          <w:sz w:val="28"/>
          <w:szCs w:val="28"/>
        </w:rPr>
        <w:t xml:space="preserve">.3. </w:t>
      </w:r>
      <w:r w:rsidR="00557633" w:rsidRPr="00587071">
        <w:rPr>
          <w:b/>
          <w:bCs/>
          <w:sz w:val="28"/>
          <w:szCs w:val="28"/>
          <w:lang w:val="vi-VN"/>
        </w:rPr>
        <w:t>C</w:t>
      </w:r>
      <w:r w:rsidR="00557633" w:rsidRPr="00587071">
        <w:rPr>
          <w:b/>
          <w:bCs/>
          <w:sz w:val="28"/>
          <w:szCs w:val="28"/>
        </w:rPr>
        <w:t>hính sách cấm trưng bày sản phẩm thuốc lá tại điểm bán</w:t>
      </w:r>
      <w:r w:rsidR="00B220F0" w:rsidRPr="00587071">
        <w:rPr>
          <w:b/>
          <w:bCs/>
          <w:sz w:val="28"/>
          <w:szCs w:val="28"/>
        </w:rPr>
        <w:t xml:space="preserve"> </w:t>
      </w:r>
      <w:r w:rsidR="00FE4DEE" w:rsidRPr="00587071">
        <w:rPr>
          <w:b/>
          <w:bCs/>
          <w:sz w:val="28"/>
          <w:szCs w:val="28"/>
        </w:rPr>
        <w:t xml:space="preserve"> </w:t>
      </w:r>
    </w:p>
    <w:p w14:paraId="100B8CD2" w14:textId="06A22581" w:rsidR="00B220F0" w:rsidRPr="00587071" w:rsidRDefault="00B220F0" w:rsidP="006E0719">
      <w:pPr>
        <w:shd w:val="clear" w:color="auto" w:fill="FFFFFF"/>
        <w:spacing w:before="80"/>
        <w:ind w:firstLine="567"/>
        <w:jc w:val="both"/>
        <w:rPr>
          <w:sz w:val="28"/>
          <w:szCs w:val="28"/>
        </w:rPr>
      </w:pPr>
      <w:r w:rsidRPr="00587071">
        <w:rPr>
          <w:sz w:val="28"/>
          <w:szCs w:val="28"/>
        </w:rPr>
        <w:t xml:space="preserve">Luật Quảng cáo và Luật </w:t>
      </w:r>
      <w:r w:rsidR="00387FCE">
        <w:rPr>
          <w:sz w:val="28"/>
          <w:szCs w:val="28"/>
        </w:rPr>
        <w:t>PCTH</w:t>
      </w:r>
      <w:r w:rsidRPr="00587071">
        <w:rPr>
          <w:sz w:val="28"/>
          <w:szCs w:val="28"/>
        </w:rPr>
        <w:t xml:space="preserve"> thuốc lá quy định thuốc lá là sản phẩm bị cấm quảng cáo. Việc trưng bày tại điểm bán thực chất là một kênh quảng bá thông qua các kệ trưng bày, vật </w:t>
      </w:r>
      <w:r w:rsidR="007115ED">
        <w:rPr>
          <w:sz w:val="28"/>
          <w:szCs w:val="28"/>
        </w:rPr>
        <w:t>dụng hỗ trợ như đèn chiếu sáng</w:t>
      </w:r>
      <w:r w:rsidRPr="00587071">
        <w:rPr>
          <w:sz w:val="28"/>
          <w:szCs w:val="28"/>
        </w:rPr>
        <w:t xml:space="preserve">… </w:t>
      </w:r>
    </w:p>
    <w:p w14:paraId="6AAF2CC8" w14:textId="65E302C0" w:rsidR="00B220F0" w:rsidRPr="00587071" w:rsidRDefault="00834FDE" w:rsidP="006E0719">
      <w:pPr>
        <w:pStyle w:val="NormalWeb"/>
        <w:spacing w:before="80" w:beforeAutospacing="0" w:after="0" w:afterAutospacing="0"/>
        <w:ind w:firstLine="567"/>
        <w:jc w:val="both"/>
        <w:rPr>
          <w:sz w:val="28"/>
          <w:szCs w:val="28"/>
        </w:rPr>
      </w:pPr>
      <w:r w:rsidRPr="00587071">
        <w:rPr>
          <w:sz w:val="28"/>
          <w:szCs w:val="28"/>
        </w:rPr>
        <w:t xml:space="preserve">Luật </w:t>
      </w:r>
      <w:r w:rsidR="00C30A15" w:rsidRPr="00587071">
        <w:rPr>
          <w:sz w:val="28"/>
          <w:szCs w:val="28"/>
        </w:rPr>
        <w:t xml:space="preserve">PCTH thuốc lá </w:t>
      </w:r>
      <w:r w:rsidRPr="00587071">
        <w:rPr>
          <w:sz w:val="28"/>
          <w:szCs w:val="28"/>
        </w:rPr>
        <w:t>quy định mỗi điểm bán không trưng bày quá một bao/tút</w:t>
      </w:r>
      <w:r w:rsidR="00C30A15" w:rsidRPr="00587071">
        <w:rPr>
          <w:sz w:val="28"/>
          <w:szCs w:val="28"/>
        </w:rPr>
        <w:t>/hộp</w:t>
      </w:r>
      <w:r w:rsidRPr="00587071">
        <w:rPr>
          <w:sz w:val="28"/>
          <w:szCs w:val="28"/>
        </w:rPr>
        <w:t xml:space="preserve"> của một nhãn hiệu</w:t>
      </w:r>
      <w:r w:rsidR="00DF71BD" w:rsidRPr="00587071">
        <w:rPr>
          <w:sz w:val="28"/>
          <w:szCs w:val="28"/>
        </w:rPr>
        <w:t xml:space="preserve"> thuốc lá. Tuy nhiên, Báo cáo tổng kết 13 năm thi hành Luật </w:t>
      </w:r>
      <w:r w:rsidR="00387FCE">
        <w:rPr>
          <w:sz w:val="28"/>
          <w:szCs w:val="28"/>
        </w:rPr>
        <w:t>PCTH</w:t>
      </w:r>
      <w:r w:rsidR="00DF71BD" w:rsidRPr="00587071">
        <w:rPr>
          <w:sz w:val="28"/>
          <w:szCs w:val="28"/>
        </w:rPr>
        <w:t xml:space="preserve"> thuốc lá cho thấy tình trạng trưng bày quá một bao, một tút cho một sản phẩm thuốc lá tại điểm bán thuốc lá khá phổ biến. Các nghiên cứu về các hình thức vi phạm quy định cấm quảng cáo tại các điểm bán lẻ thuốc lá tại Việt Nam do Trường Đại học Y tế công cộng thực hiện thời gian qua cho thấy tỉ lệ vi phạm các quy định cấm quảng cáo, khuyến mại và tài trợ thuốc lá tại các điểm bán lẻ thuốc lá trên toàn quốc khá cao. 82,5% điểm bán vi phạm quy định về trưng bày quá một bao/một tút hoặc một hộp của một nhãn hiệu thuốc lá. </w:t>
      </w:r>
      <w:r w:rsidRPr="00587071">
        <w:rPr>
          <w:sz w:val="28"/>
          <w:szCs w:val="28"/>
        </w:rPr>
        <w:t xml:space="preserve">Tình trạng này khiến người dân, đặc biệt là trẻ em, </w:t>
      </w:r>
      <w:r w:rsidR="00DF71BD" w:rsidRPr="00587071">
        <w:rPr>
          <w:sz w:val="28"/>
          <w:szCs w:val="28"/>
        </w:rPr>
        <w:t>tiếp xúc</w:t>
      </w:r>
      <w:r w:rsidRPr="00587071">
        <w:rPr>
          <w:sz w:val="28"/>
          <w:szCs w:val="28"/>
        </w:rPr>
        <w:t xml:space="preserve"> thường xuyên với hình ảnh thuốc lá, biến điểm bán thành một kênh quảng cáo trá hình. Điều này không chỉ kích thích hành vi hút thuốc mà còn gây áp lực tâm lý làm giảm </w:t>
      </w:r>
      <w:r w:rsidR="00D841A3" w:rsidRPr="00587071">
        <w:rPr>
          <w:sz w:val="28"/>
          <w:szCs w:val="28"/>
        </w:rPr>
        <w:t xml:space="preserve">hiệu quả của việc </w:t>
      </w:r>
      <w:r w:rsidRPr="00587071">
        <w:rPr>
          <w:sz w:val="28"/>
          <w:szCs w:val="28"/>
        </w:rPr>
        <w:t xml:space="preserve">cai nghiện </w:t>
      </w:r>
      <w:r w:rsidR="00D841A3" w:rsidRPr="00587071">
        <w:rPr>
          <w:sz w:val="28"/>
          <w:szCs w:val="28"/>
        </w:rPr>
        <w:t>thuốc lá</w:t>
      </w:r>
      <w:r w:rsidRPr="00587071">
        <w:rPr>
          <w:sz w:val="28"/>
          <w:szCs w:val="28"/>
        </w:rPr>
        <w:t>.</w:t>
      </w:r>
    </w:p>
    <w:p w14:paraId="3564C5E9" w14:textId="3FAA664C" w:rsidR="00C524BE" w:rsidRPr="00587071" w:rsidRDefault="00D841A3" w:rsidP="006E0719">
      <w:pPr>
        <w:pStyle w:val="NormalWeb"/>
        <w:spacing w:before="80" w:beforeAutospacing="0" w:after="0" w:afterAutospacing="0"/>
        <w:ind w:firstLine="567"/>
        <w:jc w:val="both"/>
        <w:rPr>
          <w:sz w:val="28"/>
          <w:szCs w:val="28"/>
        </w:rPr>
      </w:pPr>
      <w:r w:rsidRPr="00587071">
        <w:rPr>
          <w:sz w:val="28"/>
          <w:szCs w:val="28"/>
        </w:rPr>
        <w:t xml:space="preserve">Công ước khung về Kiểm </w:t>
      </w:r>
      <w:r w:rsidR="00932F9D">
        <w:rPr>
          <w:sz w:val="28"/>
          <w:szCs w:val="28"/>
        </w:rPr>
        <w:t>soát Thuốc lá của Tổ chức Y tế T</w:t>
      </w:r>
      <w:r w:rsidRPr="00587071">
        <w:rPr>
          <w:sz w:val="28"/>
          <w:szCs w:val="28"/>
        </w:rPr>
        <w:t xml:space="preserve">hế giới (WHO FCTC) yêu cầu các quốc gia thành viên áp dụng lệnh cấm toàn diện đối với quảng cáo, khuyến mại và tài trợ thuốc lá, bao gồm cả việc trưng bày tại điểm bán. </w:t>
      </w:r>
      <w:r w:rsidR="00EF7BA0" w:rsidRPr="00587071">
        <w:rPr>
          <w:sz w:val="28"/>
          <w:szCs w:val="28"/>
        </w:rPr>
        <w:t xml:space="preserve">Mục tiêu của chính sách nhằm: </w:t>
      </w:r>
    </w:p>
    <w:p w14:paraId="210933CC" w14:textId="6CDF114E" w:rsidR="00C524BE" w:rsidRPr="00587071" w:rsidRDefault="0062627C" w:rsidP="006E0719">
      <w:pPr>
        <w:pStyle w:val="NormalWeb"/>
        <w:spacing w:before="80" w:beforeAutospacing="0" w:after="0" w:afterAutospacing="0"/>
        <w:ind w:firstLine="567"/>
        <w:jc w:val="both"/>
        <w:rPr>
          <w:sz w:val="28"/>
          <w:szCs w:val="28"/>
        </w:rPr>
      </w:pPr>
      <w:r>
        <w:rPr>
          <w:rStyle w:val="Strong"/>
          <w:b w:val="0"/>
          <w:sz w:val="28"/>
          <w:szCs w:val="28"/>
        </w:rPr>
        <w:t>-</w:t>
      </w:r>
      <w:r w:rsidR="00C524BE" w:rsidRPr="00587071">
        <w:rPr>
          <w:rStyle w:val="Strong"/>
          <w:b w:val="0"/>
          <w:sz w:val="28"/>
          <w:szCs w:val="28"/>
        </w:rPr>
        <w:t xml:space="preserve"> </w:t>
      </w:r>
      <w:r w:rsidR="00EF7BA0" w:rsidRPr="00587071">
        <w:rPr>
          <w:rStyle w:val="Strong"/>
          <w:b w:val="0"/>
          <w:sz w:val="28"/>
          <w:szCs w:val="28"/>
        </w:rPr>
        <w:t>Giảm sự hấp dẫn và khả năng tiếp cận thuốc lá đối với giới trẻ</w:t>
      </w:r>
      <w:r w:rsidR="00EF7BA0" w:rsidRPr="00587071">
        <w:rPr>
          <w:sz w:val="28"/>
          <w:szCs w:val="28"/>
        </w:rPr>
        <w:t xml:space="preserve"> thông qua việc loại bỏ hoàn toàn yếu tố trưng bày tại điểm bán, </w:t>
      </w:r>
    </w:p>
    <w:p w14:paraId="5E8EAE50" w14:textId="74A3430E" w:rsidR="00C524BE" w:rsidRPr="00587071" w:rsidRDefault="0062627C" w:rsidP="006E0719">
      <w:pPr>
        <w:pStyle w:val="NormalWeb"/>
        <w:spacing w:before="80" w:beforeAutospacing="0" w:after="0" w:afterAutospacing="0"/>
        <w:ind w:firstLine="567"/>
        <w:jc w:val="both"/>
        <w:rPr>
          <w:sz w:val="28"/>
          <w:szCs w:val="28"/>
        </w:rPr>
      </w:pPr>
      <w:r>
        <w:rPr>
          <w:sz w:val="28"/>
          <w:szCs w:val="28"/>
        </w:rPr>
        <w:t>-</w:t>
      </w:r>
      <w:r w:rsidR="00C524BE" w:rsidRPr="00587071">
        <w:rPr>
          <w:sz w:val="28"/>
          <w:szCs w:val="28"/>
        </w:rPr>
        <w:t xml:space="preserve"> G</w:t>
      </w:r>
      <w:r w:rsidR="00EF7BA0" w:rsidRPr="00587071">
        <w:rPr>
          <w:sz w:val="28"/>
          <w:szCs w:val="28"/>
        </w:rPr>
        <w:t xml:space="preserve">iảm thiểu việc bình thường hóa hành vi hút thuốc, hạn chế tác động thị giác khuyến khích sử dụng thuốc lá, đồng thời giảm hành vi mua </w:t>
      </w:r>
      <w:r w:rsidR="00925944">
        <w:rPr>
          <w:sz w:val="28"/>
          <w:szCs w:val="28"/>
          <w:lang w:val="vi-VN"/>
        </w:rPr>
        <w:t>ngoài dự định</w:t>
      </w:r>
      <w:r w:rsidR="00925944">
        <w:rPr>
          <w:sz w:val="28"/>
          <w:szCs w:val="28"/>
        </w:rPr>
        <w:t>,</w:t>
      </w:r>
      <w:r w:rsidR="00EF7BA0" w:rsidRPr="00587071">
        <w:rPr>
          <w:sz w:val="28"/>
          <w:szCs w:val="28"/>
        </w:rPr>
        <w:t xml:space="preserve"> đặc biệt ở nhóm thanh thiếu niên </w:t>
      </w:r>
      <w:r w:rsidR="00EF7BA0" w:rsidRPr="00587071">
        <w:rPr>
          <w:sz w:val="28"/>
          <w:szCs w:val="28"/>
          <w:lang w:val="vi-VN"/>
        </w:rPr>
        <w:t xml:space="preserve">hoặc </w:t>
      </w:r>
      <w:r w:rsidR="00EF7BA0" w:rsidRPr="00587071">
        <w:rPr>
          <w:sz w:val="28"/>
          <w:szCs w:val="28"/>
        </w:rPr>
        <w:t xml:space="preserve">những người đang trong quá trình cai nghiện; </w:t>
      </w:r>
    </w:p>
    <w:p w14:paraId="4DBA9B27" w14:textId="45C2C649" w:rsidR="00EF7BA0" w:rsidRPr="00587071" w:rsidRDefault="0062627C" w:rsidP="006E0719">
      <w:pPr>
        <w:pStyle w:val="NormalWeb"/>
        <w:spacing w:before="80" w:beforeAutospacing="0" w:after="0" w:afterAutospacing="0"/>
        <w:ind w:firstLine="567"/>
        <w:jc w:val="both"/>
        <w:rPr>
          <w:sz w:val="28"/>
          <w:szCs w:val="28"/>
        </w:rPr>
      </w:pPr>
      <w:r>
        <w:rPr>
          <w:rStyle w:val="Strong"/>
          <w:b w:val="0"/>
          <w:sz w:val="28"/>
          <w:szCs w:val="28"/>
        </w:rPr>
        <w:t>-</w:t>
      </w:r>
      <w:r w:rsidR="00C524BE" w:rsidRPr="00587071">
        <w:rPr>
          <w:rStyle w:val="Strong"/>
          <w:b w:val="0"/>
          <w:sz w:val="28"/>
          <w:szCs w:val="28"/>
        </w:rPr>
        <w:t xml:space="preserve"> H</w:t>
      </w:r>
      <w:r w:rsidR="00EF7BA0" w:rsidRPr="00587071">
        <w:rPr>
          <w:rStyle w:val="Strong"/>
          <w:b w:val="0"/>
          <w:sz w:val="28"/>
          <w:szCs w:val="28"/>
        </w:rPr>
        <w:t>ỗ trợ người hút thuốc cai nghiện</w:t>
      </w:r>
      <w:r w:rsidR="00EF7BA0" w:rsidRPr="00587071">
        <w:rPr>
          <w:sz w:val="28"/>
          <w:szCs w:val="28"/>
        </w:rPr>
        <w:t xml:space="preserve"> bằng cách loại bỏ các tác nhân gợi nhớ và kích thích tiêu dùng, qua đó </w:t>
      </w:r>
      <w:r w:rsidR="00EF7BA0" w:rsidRPr="00587071">
        <w:rPr>
          <w:sz w:val="28"/>
          <w:szCs w:val="28"/>
          <w:lang w:val="vi-VN"/>
        </w:rPr>
        <w:t>xây dựng</w:t>
      </w:r>
      <w:r w:rsidR="00EF7BA0" w:rsidRPr="00587071">
        <w:rPr>
          <w:sz w:val="28"/>
          <w:szCs w:val="28"/>
        </w:rPr>
        <w:t xml:space="preserve"> môi trường thuận lợi hơn cho việc bỏ </w:t>
      </w:r>
      <w:r w:rsidR="00EF7BA0" w:rsidRPr="00587071">
        <w:rPr>
          <w:sz w:val="28"/>
          <w:szCs w:val="28"/>
        </w:rPr>
        <w:lastRenderedPageBreak/>
        <w:t>thuốc</w:t>
      </w:r>
      <w:r w:rsidR="00842E2C" w:rsidRPr="00587071">
        <w:rPr>
          <w:sz w:val="28"/>
          <w:szCs w:val="28"/>
        </w:rPr>
        <w:t>; t</w:t>
      </w:r>
      <w:r w:rsidR="00EF7BA0" w:rsidRPr="00587071">
        <w:rPr>
          <w:rStyle w:val="Strong"/>
          <w:b w:val="0"/>
          <w:sz w:val="28"/>
          <w:szCs w:val="28"/>
        </w:rPr>
        <w:t>ăng cường hiệu quả thực thi các quy định hiện hành</w:t>
      </w:r>
      <w:r w:rsidR="00EF7BA0" w:rsidRPr="00587071">
        <w:rPr>
          <w:sz w:val="28"/>
          <w:szCs w:val="28"/>
        </w:rPr>
        <w:t xml:space="preserve"> về cấm quảng cáo, khuyến mại và tài trợ thuốc lá</w:t>
      </w:r>
      <w:r w:rsidR="00842E2C" w:rsidRPr="00587071">
        <w:rPr>
          <w:sz w:val="28"/>
          <w:szCs w:val="28"/>
        </w:rPr>
        <w:t>.</w:t>
      </w:r>
    </w:p>
    <w:p w14:paraId="0899977A" w14:textId="77777777" w:rsidR="00B220F0" w:rsidRPr="00587071" w:rsidRDefault="00B220F0" w:rsidP="006E0719">
      <w:pPr>
        <w:shd w:val="clear" w:color="auto" w:fill="FFFFFF"/>
        <w:spacing w:before="80"/>
        <w:ind w:firstLine="567"/>
        <w:jc w:val="both"/>
        <w:rPr>
          <w:sz w:val="28"/>
          <w:szCs w:val="28"/>
        </w:rPr>
      </w:pPr>
      <w:r w:rsidRPr="00587071">
        <w:rPr>
          <w:sz w:val="28"/>
          <w:szCs w:val="28"/>
        </w:rPr>
        <w:t>Tính đến cuối năm 2024, trên thế giới đã có 59 quốc gia ban hành quy định cấm trưng bày thuốc lá tại điểm bán. Trong khu vực ASEAN có 05 nước đã cấm trưng bày bao gồm: Thái Lan, Brunei, Singapore và Lào, Malaysia.</w:t>
      </w:r>
    </w:p>
    <w:p w14:paraId="4F3830A9" w14:textId="63AE2B53" w:rsidR="00834FDE" w:rsidRPr="00587071" w:rsidRDefault="00B71239" w:rsidP="006E0719">
      <w:pPr>
        <w:pStyle w:val="NormalWeb"/>
        <w:spacing w:before="80" w:beforeAutospacing="0" w:after="0" w:afterAutospacing="0"/>
        <w:ind w:firstLine="567"/>
        <w:jc w:val="both"/>
        <w:rPr>
          <w:b/>
          <w:iCs/>
          <w:sz w:val="28"/>
          <w:szCs w:val="28"/>
        </w:rPr>
      </w:pPr>
      <w:r>
        <w:rPr>
          <w:b/>
          <w:sz w:val="28"/>
          <w:szCs w:val="28"/>
        </w:rPr>
        <w:t>2</w:t>
      </w:r>
      <w:r w:rsidR="00842E2C" w:rsidRPr="00587071">
        <w:rPr>
          <w:b/>
          <w:sz w:val="28"/>
          <w:szCs w:val="28"/>
        </w:rPr>
        <w:t xml:space="preserve">.4. </w:t>
      </w:r>
      <w:r w:rsidR="00B25E8E">
        <w:rPr>
          <w:b/>
          <w:sz w:val="28"/>
          <w:szCs w:val="28"/>
        </w:rPr>
        <w:t>Q</w:t>
      </w:r>
      <w:r w:rsidR="00842E2C" w:rsidRPr="00587071">
        <w:rPr>
          <w:b/>
          <w:sz w:val="28"/>
          <w:szCs w:val="28"/>
        </w:rPr>
        <w:t xml:space="preserve">uy định </w:t>
      </w:r>
      <w:r w:rsidR="00B7225D" w:rsidRPr="00587071">
        <w:rPr>
          <w:b/>
          <w:bCs/>
          <w:iCs/>
          <w:sz w:val="28"/>
          <w:szCs w:val="28"/>
        </w:rPr>
        <w:t>cấm thuốc lá điện tử và thuốc lá nung nóng</w:t>
      </w:r>
      <w:r w:rsidR="00B7225D" w:rsidRPr="00587071">
        <w:rPr>
          <w:b/>
          <w:bCs/>
          <w:iCs/>
          <w:sz w:val="28"/>
          <w:szCs w:val="28"/>
          <w:lang w:val="vi-VN"/>
        </w:rPr>
        <w:t xml:space="preserve"> </w:t>
      </w:r>
      <w:r w:rsidR="00842E2C" w:rsidRPr="00587071">
        <w:rPr>
          <w:b/>
          <w:bCs/>
          <w:iCs/>
          <w:sz w:val="28"/>
          <w:szCs w:val="28"/>
        </w:rPr>
        <w:t>trong</w:t>
      </w:r>
      <w:r w:rsidR="00134CB6">
        <w:rPr>
          <w:b/>
          <w:bCs/>
          <w:iCs/>
          <w:sz w:val="28"/>
          <w:szCs w:val="28"/>
        </w:rPr>
        <w:t xml:space="preserve"> </w:t>
      </w:r>
      <w:r w:rsidR="00842E2C" w:rsidRPr="00587071">
        <w:rPr>
          <w:b/>
          <w:bCs/>
          <w:iCs/>
          <w:sz w:val="28"/>
          <w:szCs w:val="28"/>
        </w:rPr>
        <w:t>Luật Phòng, chống tác hại của thuốc lá</w:t>
      </w:r>
    </w:p>
    <w:p w14:paraId="6CCD60D1" w14:textId="2AF9B515" w:rsidR="00DD3DB5" w:rsidRPr="00587071" w:rsidRDefault="00DD3DB5" w:rsidP="006E0719">
      <w:pPr>
        <w:spacing w:before="80"/>
        <w:ind w:firstLine="567"/>
        <w:jc w:val="both"/>
        <w:rPr>
          <w:color w:val="000000"/>
          <w:spacing w:val="4"/>
          <w:sz w:val="28"/>
          <w:szCs w:val="28"/>
        </w:rPr>
      </w:pPr>
      <w:bookmarkStart w:id="1" w:name="_Hlk227759332"/>
      <w:r w:rsidRPr="00587071">
        <w:rPr>
          <w:color w:val="000000"/>
          <w:spacing w:val="4"/>
          <w:sz w:val="28"/>
          <w:szCs w:val="28"/>
        </w:rPr>
        <w:t xml:space="preserve">Nghị quyết số 173/2024/QH15 </w:t>
      </w:r>
      <w:bookmarkEnd w:id="1"/>
      <w:r w:rsidRPr="00587071">
        <w:rPr>
          <w:color w:val="000000"/>
          <w:spacing w:val="4"/>
          <w:sz w:val="28"/>
          <w:szCs w:val="28"/>
        </w:rPr>
        <w:t>của Quốc hội</w:t>
      </w:r>
      <w:r w:rsidR="004A7602">
        <w:rPr>
          <w:color w:val="000000"/>
          <w:spacing w:val="4"/>
          <w:sz w:val="28"/>
          <w:szCs w:val="28"/>
        </w:rPr>
        <w:t xml:space="preserve"> quy định: “</w:t>
      </w:r>
      <w:r w:rsidR="004A7602" w:rsidRPr="004A7602">
        <w:rPr>
          <w:color w:val="000000"/>
          <w:spacing w:val="4"/>
          <w:sz w:val="28"/>
          <w:szCs w:val="28"/>
        </w:rPr>
        <w:t>Quốc hội thống nhất cấm sản xuất, kinh doanh, nhập khẩu, chứa chấp, vận chuyển, sử dụng thuốc lá điện tử, thuốc lá nung nóng”</w:t>
      </w:r>
      <w:r w:rsidRPr="00587071">
        <w:rPr>
          <w:color w:val="000000"/>
          <w:spacing w:val="4"/>
          <w:sz w:val="28"/>
          <w:szCs w:val="28"/>
        </w:rPr>
        <w:t xml:space="preserve">. Luật đầu tư </w:t>
      </w:r>
      <w:r w:rsidR="004224E3">
        <w:rPr>
          <w:color w:val="000000"/>
          <w:spacing w:val="4"/>
          <w:sz w:val="28"/>
          <w:szCs w:val="28"/>
        </w:rPr>
        <w:t xml:space="preserve">số </w:t>
      </w:r>
      <w:r w:rsidR="004224E3" w:rsidRPr="004224E3">
        <w:rPr>
          <w:color w:val="000000"/>
          <w:spacing w:val="4"/>
          <w:sz w:val="28"/>
          <w:szCs w:val="28"/>
        </w:rPr>
        <w:t>143/2025/QH15</w:t>
      </w:r>
      <w:r w:rsidR="00B01CD2">
        <w:rPr>
          <w:color w:val="000000"/>
          <w:spacing w:val="4"/>
          <w:sz w:val="28"/>
          <w:szCs w:val="28"/>
        </w:rPr>
        <w:t xml:space="preserve"> </w:t>
      </w:r>
      <w:r w:rsidRPr="00587071">
        <w:rPr>
          <w:color w:val="000000"/>
          <w:spacing w:val="4"/>
          <w:sz w:val="28"/>
          <w:szCs w:val="28"/>
        </w:rPr>
        <w:t>đã cấm kinh doanh</w:t>
      </w:r>
      <w:r w:rsidR="004A7602">
        <w:rPr>
          <w:color w:val="000000"/>
          <w:spacing w:val="4"/>
          <w:sz w:val="28"/>
          <w:szCs w:val="28"/>
        </w:rPr>
        <w:t xml:space="preserve"> thuốc lá điện tử</w:t>
      </w:r>
      <w:r w:rsidRPr="00587071">
        <w:rPr>
          <w:color w:val="000000"/>
          <w:spacing w:val="4"/>
          <w:sz w:val="28"/>
          <w:szCs w:val="28"/>
        </w:rPr>
        <w:t xml:space="preserve">, </w:t>
      </w:r>
      <w:r w:rsidR="00537DF1">
        <w:rPr>
          <w:color w:val="000000"/>
          <w:spacing w:val="4"/>
          <w:sz w:val="28"/>
          <w:szCs w:val="28"/>
        </w:rPr>
        <w:t>thuốc lá nung nóng</w:t>
      </w:r>
      <w:r w:rsidRPr="00587071">
        <w:rPr>
          <w:color w:val="000000"/>
          <w:spacing w:val="4"/>
          <w:sz w:val="28"/>
          <w:szCs w:val="28"/>
        </w:rPr>
        <w:t>.</w:t>
      </w:r>
    </w:p>
    <w:p w14:paraId="31300A99" w14:textId="60CE5862" w:rsidR="004224E3" w:rsidRDefault="00DD3DB5" w:rsidP="006E0719">
      <w:pPr>
        <w:spacing w:before="80"/>
        <w:ind w:firstLine="567"/>
        <w:jc w:val="both"/>
        <w:rPr>
          <w:color w:val="000000"/>
          <w:sz w:val="28"/>
          <w:szCs w:val="28"/>
        </w:rPr>
      </w:pPr>
      <w:r w:rsidRPr="00587071">
        <w:rPr>
          <w:color w:val="000000"/>
          <w:sz w:val="28"/>
          <w:szCs w:val="28"/>
        </w:rPr>
        <w:t xml:space="preserve">Sau khi </w:t>
      </w:r>
      <w:r w:rsidR="00FE4DEE" w:rsidRPr="00587071">
        <w:rPr>
          <w:color w:val="000000"/>
          <w:sz w:val="28"/>
          <w:szCs w:val="28"/>
        </w:rPr>
        <w:t xml:space="preserve">có </w:t>
      </w:r>
      <w:r w:rsidRPr="00587071">
        <w:rPr>
          <w:color w:val="000000"/>
          <w:sz w:val="28"/>
          <w:szCs w:val="28"/>
        </w:rPr>
        <w:t xml:space="preserve">Nghị quyết số 173/2024/QH15, tình hình ngộ độc do sử dụng TLĐT </w:t>
      </w:r>
      <w:r w:rsidR="004224E3">
        <w:rPr>
          <w:color w:val="000000"/>
          <w:sz w:val="28"/>
          <w:szCs w:val="28"/>
        </w:rPr>
        <w:t>đã giảm đáng kể</w:t>
      </w:r>
      <w:r w:rsidRPr="00587071">
        <w:rPr>
          <w:color w:val="000000"/>
          <w:sz w:val="28"/>
          <w:szCs w:val="28"/>
        </w:rPr>
        <w:t xml:space="preserve">. Theo dữ liệu sơ bộ từ Trung tâm Chống độc, Bệnh viện Bạch Mai, </w:t>
      </w:r>
      <w:r w:rsidR="004224E3">
        <w:rPr>
          <w:color w:val="000000"/>
          <w:sz w:val="28"/>
          <w:szCs w:val="28"/>
        </w:rPr>
        <w:t>t</w:t>
      </w:r>
      <w:r w:rsidRPr="00587071">
        <w:rPr>
          <w:color w:val="000000"/>
          <w:sz w:val="28"/>
          <w:szCs w:val="28"/>
        </w:rPr>
        <w:t xml:space="preserve">rước khi có </w:t>
      </w:r>
      <w:r w:rsidR="004224E3">
        <w:rPr>
          <w:color w:val="000000"/>
          <w:sz w:val="28"/>
          <w:szCs w:val="28"/>
        </w:rPr>
        <w:t>quy định</w:t>
      </w:r>
      <w:r w:rsidRPr="00587071">
        <w:rPr>
          <w:color w:val="000000"/>
          <w:sz w:val="28"/>
          <w:szCs w:val="28"/>
        </w:rPr>
        <w:t xml:space="preserve"> cấm, trong vòng 22 tháng Trung tâm Chống độc tiếp nhận 120 trường hợp cấp cứu liên quan đến sử dụng TLĐT hoặc TLNN, tức là trung bình 5-6 trường hợp trong mỗi tháng. </w:t>
      </w:r>
      <w:r w:rsidR="004224E3">
        <w:rPr>
          <w:color w:val="000000"/>
          <w:sz w:val="28"/>
          <w:szCs w:val="28"/>
        </w:rPr>
        <w:t>Sau</w:t>
      </w:r>
      <w:r w:rsidR="007A6CE1">
        <w:rPr>
          <w:color w:val="000000"/>
          <w:sz w:val="28"/>
          <w:szCs w:val="28"/>
        </w:rPr>
        <w:t xml:space="preserve"> khi</w:t>
      </w:r>
      <w:r w:rsidRPr="00587071">
        <w:rPr>
          <w:color w:val="000000"/>
          <w:sz w:val="28"/>
          <w:szCs w:val="28"/>
        </w:rPr>
        <w:t xml:space="preserve"> </w:t>
      </w:r>
      <w:r w:rsidR="004224E3" w:rsidRPr="00587071">
        <w:rPr>
          <w:color w:val="000000"/>
          <w:sz w:val="28"/>
          <w:szCs w:val="28"/>
        </w:rPr>
        <w:t xml:space="preserve">có </w:t>
      </w:r>
      <w:r w:rsidR="004224E3">
        <w:rPr>
          <w:color w:val="000000"/>
          <w:sz w:val="28"/>
          <w:szCs w:val="28"/>
        </w:rPr>
        <w:t>quy định</w:t>
      </w:r>
      <w:r w:rsidR="004224E3" w:rsidRPr="00587071">
        <w:rPr>
          <w:color w:val="000000"/>
          <w:sz w:val="28"/>
          <w:szCs w:val="28"/>
        </w:rPr>
        <w:t xml:space="preserve"> cấm</w:t>
      </w:r>
      <w:r w:rsidRPr="00587071">
        <w:rPr>
          <w:color w:val="000000"/>
          <w:sz w:val="28"/>
          <w:szCs w:val="28"/>
        </w:rPr>
        <w:t xml:space="preserve">, </w:t>
      </w:r>
      <w:r w:rsidR="004224E3">
        <w:rPr>
          <w:color w:val="000000"/>
          <w:sz w:val="28"/>
          <w:szCs w:val="28"/>
        </w:rPr>
        <w:t xml:space="preserve">mỗi tháng </w:t>
      </w:r>
      <w:r w:rsidRPr="00587071">
        <w:rPr>
          <w:color w:val="000000"/>
          <w:sz w:val="28"/>
          <w:szCs w:val="28"/>
        </w:rPr>
        <w:t>Trung tâm chỉ điều trị 1-2 trường hợp cấp cứu liên quan đến TLĐT, TLNN</w:t>
      </w:r>
      <w:r w:rsidR="004224E3">
        <w:rPr>
          <w:color w:val="000000"/>
          <w:sz w:val="28"/>
          <w:szCs w:val="28"/>
        </w:rPr>
        <w:t>.</w:t>
      </w:r>
      <w:r w:rsidRPr="00587071">
        <w:rPr>
          <w:color w:val="000000"/>
          <w:sz w:val="28"/>
          <w:szCs w:val="28"/>
        </w:rPr>
        <w:t xml:space="preserve"> </w:t>
      </w:r>
    </w:p>
    <w:p w14:paraId="4781F4A9" w14:textId="1513BC6B" w:rsidR="00EA1B45" w:rsidRPr="00587071" w:rsidRDefault="00DD3DB5" w:rsidP="006E0719">
      <w:pPr>
        <w:spacing w:before="80"/>
        <w:ind w:firstLine="567"/>
        <w:jc w:val="both"/>
        <w:rPr>
          <w:color w:val="000000"/>
          <w:sz w:val="28"/>
          <w:szCs w:val="28"/>
        </w:rPr>
      </w:pPr>
      <w:r w:rsidRPr="00587071">
        <w:rPr>
          <w:color w:val="000000"/>
          <w:sz w:val="28"/>
          <w:szCs w:val="28"/>
        </w:rPr>
        <w:t xml:space="preserve">Việc quảng cáo công khai các sản phẩm này của những người có ảnh hưởng dường như cũng đã chấm dứt. </w:t>
      </w:r>
      <w:r w:rsidR="00FE4DEE" w:rsidRPr="00587071">
        <w:rPr>
          <w:color w:val="000000"/>
          <w:sz w:val="28"/>
          <w:szCs w:val="28"/>
        </w:rPr>
        <w:t xml:space="preserve">Kết quả này cho thấy sự can thiệp kịp thời của chính sách đã trực tiếp bảo vệ tính mạng người dân và giảm bớt gánh nặng đáng kể cho hệ thống y tế điều trị các ca ngộ độc cấp tính.  </w:t>
      </w:r>
    </w:p>
    <w:p w14:paraId="455C5F59" w14:textId="573385D7" w:rsidR="00481A7B" w:rsidRDefault="00FE4DEE" w:rsidP="006E0719">
      <w:pPr>
        <w:spacing w:before="80"/>
        <w:ind w:firstLine="567"/>
        <w:jc w:val="both"/>
        <w:rPr>
          <w:color w:val="000000"/>
          <w:sz w:val="28"/>
          <w:szCs w:val="28"/>
        </w:rPr>
      </w:pPr>
      <w:r w:rsidRPr="00587071">
        <w:rPr>
          <w:color w:val="000000"/>
          <w:sz w:val="28"/>
          <w:szCs w:val="28"/>
        </w:rPr>
        <w:t>Do vậy, cần phải bổ sung quy định</w:t>
      </w:r>
      <w:r w:rsidR="00EA1B45" w:rsidRPr="00587071">
        <w:rPr>
          <w:color w:val="000000"/>
          <w:sz w:val="28"/>
          <w:szCs w:val="28"/>
        </w:rPr>
        <w:t xml:space="preserve"> </w:t>
      </w:r>
      <w:r w:rsidR="00EA1B45" w:rsidRPr="00587071">
        <w:rPr>
          <w:bCs/>
          <w:sz w:val="28"/>
          <w:szCs w:val="28"/>
        </w:rPr>
        <w:t>cấm sản xuất, kinh doanh, tàng trữ, vận chuyển, quảng cáo, khuyến mại, tài trợ, chứa chấp, sử dụng</w:t>
      </w:r>
      <w:r w:rsidR="00EA1B45" w:rsidRPr="00587071">
        <w:rPr>
          <w:bCs/>
          <w:sz w:val="28"/>
          <w:szCs w:val="28"/>
          <w:lang w:val="vi-VN"/>
        </w:rPr>
        <w:t xml:space="preserve"> TLĐT, TLNN</w:t>
      </w:r>
      <w:r w:rsidR="00EA1B45" w:rsidRPr="00587071">
        <w:rPr>
          <w:bCs/>
          <w:sz w:val="28"/>
          <w:szCs w:val="28"/>
        </w:rPr>
        <w:t>, thuốc lá mới khác</w:t>
      </w:r>
      <w:r w:rsidRPr="00587071">
        <w:rPr>
          <w:color w:val="000000"/>
          <w:sz w:val="28"/>
          <w:szCs w:val="28"/>
        </w:rPr>
        <w:t xml:space="preserve"> tại dự thảo Luật sửa đổi, bổ sung Luật </w:t>
      </w:r>
      <w:r w:rsidR="00922B33">
        <w:rPr>
          <w:color w:val="000000"/>
          <w:sz w:val="28"/>
          <w:szCs w:val="28"/>
        </w:rPr>
        <w:t>PCTH</w:t>
      </w:r>
      <w:r w:rsidRPr="00587071">
        <w:rPr>
          <w:color w:val="000000"/>
          <w:sz w:val="28"/>
          <w:szCs w:val="28"/>
        </w:rPr>
        <w:t xml:space="preserve"> thuốc lá.</w:t>
      </w:r>
    </w:p>
    <w:p w14:paraId="1CB0E6D6" w14:textId="77777777" w:rsidR="00C26A41" w:rsidRDefault="00C26A41">
      <w:pPr>
        <w:spacing w:after="160" w:line="259" w:lineRule="auto"/>
        <w:rPr>
          <w:b/>
          <w:sz w:val="28"/>
          <w:szCs w:val="28"/>
        </w:rPr>
      </w:pPr>
      <w:r>
        <w:rPr>
          <w:b/>
          <w:sz w:val="28"/>
          <w:szCs w:val="28"/>
        </w:rPr>
        <w:br w:type="page"/>
      </w:r>
    </w:p>
    <w:p w14:paraId="4831CA44" w14:textId="62A9871A" w:rsidR="002043E8" w:rsidRPr="00587071" w:rsidRDefault="002043E8" w:rsidP="00481A7B">
      <w:pPr>
        <w:spacing w:before="60"/>
        <w:jc w:val="center"/>
        <w:rPr>
          <w:b/>
          <w:sz w:val="28"/>
          <w:szCs w:val="28"/>
        </w:rPr>
      </w:pPr>
      <w:r w:rsidRPr="00587071">
        <w:rPr>
          <w:b/>
          <w:sz w:val="28"/>
          <w:szCs w:val="28"/>
        </w:rPr>
        <w:lastRenderedPageBreak/>
        <w:t>THÔNG ĐIỆP TUYÊN TRUYỀN</w:t>
      </w:r>
    </w:p>
    <w:p w14:paraId="39297C5A" w14:textId="77777777" w:rsidR="002043E8" w:rsidRPr="00587071" w:rsidRDefault="002043E8" w:rsidP="00A9286E">
      <w:pPr>
        <w:spacing w:before="60"/>
        <w:jc w:val="center"/>
        <w:rPr>
          <w:b/>
          <w:sz w:val="28"/>
          <w:szCs w:val="28"/>
        </w:rPr>
      </w:pPr>
      <w:r w:rsidRPr="00587071">
        <w:rPr>
          <w:b/>
          <w:sz w:val="28"/>
          <w:szCs w:val="28"/>
        </w:rPr>
        <w:t>NGÀY THẾ GIỚI KHÔNG THUỐC LÁ 31/5/2026</w:t>
      </w:r>
    </w:p>
    <w:p w14:paraId="079466E2" w14:textId="77777777" w:rsidR="002043E8" w:rsidRPr="00587071" w:rsidRDefault="002043E8" w:rsidP="00A9286E">
      <w:pPr>
        <w:spacing w:before="60"/>
        <w:jc w:val="center"/>
        <w:rPr>
          <w:b/>
          <w:sz w:val="28"/>
          <w:szCs w:val="28"/>
        </w:rPr>
      </w:pPr>
      <w:r w:rsidRPr="00587071">
        <w:rPr>
          <w:b/>
          <w:sz w:val="28"/>
          <w:szCs w:val="28"/>
        </w:rPr>
        <w:t>TUẦN LỄ QUỐC GIA KHÔNG THUỐC LÁ 25-31/5/2026</w:t>
      </w:r>
    </w:p>
    <w:p w14:paraId="633BABF0" w14:textId="77777777" w:rsidR="002043E8" w:rsidRPr="00587071" w:rsidRDefault="002043E8" w:rsidP="00587071">
      <w:pPr>
        <w:spacing w:before="60"/>
        <w:ind w:firstLine="567"/>
        <w:jc w:val="center"/>
        <w:rPr>
          <w:b/>
          <w:sz w:val="28"/>
          <w:szCs w:val="28"/>
        </w:rPr>
      </w:pPr>
    </w:p>
    <w:p w14:paraId="4B435C09" w14:textId="47767660" w:rsidR="002043E8" w:rsidRPr="00587071" w:rsidRDefault="002043E8" w:rsidP="0068510C">
      <w:pPr>
        <w:numPr>
          <w:ilvl w:val="0"/>
          <w:numId w:val="44"/>
        </w:numPr>
        <w:tabs>
          <w:tab w:val="clear" w:pos="720"/>
          <w:tab w:val="num" w:pos="360"/>
        </w:tabs>
        <w:spacing w:before="120"/>
        <w:ind w:left="851" w:hanging="425"/>
        <w:jc w:val="both"/>
        <w:rPr>
          <w:rStyle w:val="fontstyle01"/>
          <w:rFonts w:ascii="Times New Roman" w:eastAsia="Calibri" w:hAnsi="Times New Roman"/>
          <w:i/>
          <w:lang w:val="vi-VN"/>
        </w:rPr>
      </w:pPr>
      <w:r w:rsidRPr="00587071">
        <w:rPr>
          <w:rStyle w:val="fontstyle01"/>
          <w:rFonts w:ascii="Times New Roman" w:hAnsi="Times New Roman"/>
        </w:rPr>
        <w:t>Cấm sản xuất, kinh doanh, nhập khẩu, chứa chấp, vận chuyển</w:t>
      </w:r>
      <w:r w:rsidR="00527AE6">
        <w:rPr>
          <w:rStyle w:val="fontstyle01"/>
          <w:rFonts w:ascii="Times New Roman" w:hAnsi="Times New Roman"/>
        </w:rPr>
        <w:t>,</w:t>
      </w:r>
      <w:r w:rsidRPr="00587071">
        <w:rPr>
          <w:rStyle w:val="fontstyle01"/>
          <w:rFonts w:ascii="Times New Roman" w:hAnsi="Times New Roman"/>
        </w:rPr>
        <w:t xml:space="preserve"> sử dụng thuốc lá điện tử</w:t>
      </w:r>
      <w:r w:rsidR="00576EDA">
        <w:rPr>
          <w:rStyle w:val="fontstyle01"/>
          <w:rFonts w:ascii="Times New Roman" w:hAnsi="Times New Roman"/>
        </w:rPr>
        <w:t xml:space="preserve">, </w:t>
      </w:r>
      <w:r w:rsidRPr="00587071">
        <w:rPr>
          <w:rStyle w:val="fontstyle01"/>
          <w:rFonts w:ascii="Times New Roman" w:hAnsi="Times New Roman"/>
        </w:rPr>
        <w:t xml:space="preserve">thuốc lá nung nóng </w:t>
      </w:r>
      <w:r w:rsidRPr="000D4CBA">
        <w:rPr>
          <w:rStyle w:val="fontstyle01"/>
          <w:rFonts w:ascii="Times New Roman" w:hAnsi="Times New Roman"/>
          <w:sz w:val="26"/>
        </w:rPr>
        <w:t>(</w:t>
      </w:r>
      <w:r w:rsidRPr="000D4CBA">
        <w:rPr>
          <w:rStyle w:val="fontstyle01"/>
          <w:rFonts w:ascii="Times New Roman" w:hAnsi="Times New Roman"/>
          <w:i/>
          <w:sz w:val="26"/>
        </w:rPr>
        <w:t>Nghị quyết số 173/2024/QH15</w:t>
      </w:r>
      <w:r w:rsidRPr="000D4CBA">
        <w:rPr>
          <w:rStyle w:val="fontstyle01"/>
          <w:rFonts w:ascii="Times New Roman" w:hAnsi="Times New Roman"/>
          <w:i/>
          <w:sz w:val="26"/>
          <w:lang w:val="vi-VN"/>
        </w:rPr>
        <w:t>)</w:t>
      </w:r>
      <w:r w:rsidR="007D79FD">
        <w:rPr>
          <w:rStyle w:val="fontstyle01"/>
          <w:rFonts w:ascii="Times New Roman" w:hAnsi="Times New Roman"/>
          <w:i/>
          <w:sz w:val="26"/>
        </w:rPr>
        <w:t>.</w:t>
      </w:r>
    </w:p>
    <w:p w14:paraId="089F4B0D" w14:textId="39EC1548" w:rsidR="007C33AE" w:rsidRDefault="007C33AE" w:rsidP="0068510C">
      <w:pPr>
        <w:numPr>
          <w:ilvl w:val="0"/>
          <w:numId w:val="44"/>
        </w:numPr>
        <w:tabs>
          <w:tab w:val="clear" w:pos="720"/>
          <w:tab w:val="num" w:pos="360"/>
        </w:tabs>
        <w:spacing w:before="120"/>
        <w:ind w:left="851" w:hanging="425"/>
        <w:jc w:val="both"/>
        <w:rPr>
          <w:sz w:val="28"/>
          <w:szCs w:val="28"/>
        </w:rPr>
      </w:pPr>
      <w:r w:rsidRPr="003A21BE">
        <w:rPr>
          <w:sz w:val="28"/>
          <w:szCs w:val="28"/>
        </w:rPr>
        <w:t>Thuốc lá điện tử, thuốc lá nung nóng chứa hóa chất độc hại như các hoá chất có trong khói xe ô tô, thuốc trừ sâu</w:t>
      </w:r>
      <w:r>
        <w:rPr>
          <w:sz w:val="28"/>
          <w:szCs w:val="28"/>
        </w:rPr>
        <w:t>.</w:t>
      </w:r>
    </w:p>
    <w:p w14:paraId="6EC58247" w14:textId="2A23C93E" w:rsidR="007C33AE" w:rsidRPr="003A21BE" w:rsidRDefault="007C33AE" w:rsidP="0068510C">
      <w:pPr>
        <w:numPr>
          <w:ilvl w:val="0"/>
          <w:numId w:val="44"/>
        </w:numPr>
        <w:tabs>
          <w:tab w:val="clear" w:pos="720"/>
          <w:tab w:val="num" w:pos="360"/>
        </w:tabs>
        <w:spacing w:before="120"/>
        <w:ind w:left="851" w:hanging="425"/>
        <w:jc w:val="both"/>
        <w:rPr>
          <w:sz w:val="28"/>
          <w:szCs w:val="28"/>
        </w:rPr>
      </w:pPr>
      <w:r w:rsidRPr="003A21BE">
        <w:rPr>
          <w:sz w:val="28"/>
          <w:szCs w:val="28"/>
        </w:rPr>
        <w:t>Sử dụng thuốc lá, thuốc lá điện tử, thuốc lá nung nóng gây tổn thương phổi, tim và não, đặc biệt là ở người trẻ</w:t>
      </w:r>
      <w:r>
        <w:rPr>
          <w:sz w:val="28"/>
          <w:szCs w:val="28"/>
        </w:rPr>
        <w:t>.</w:t>
      </w:r>
    </w:p>
    <w:p w14:paraId="4B5718C4" w14:textId="7934E591" w:rsidR="001656D7" w:rsidRPr="0068510C" w:rsidRDefault="007D79FD" w:rsidP="0068510C">
      <w:pPr>
        <w:numPr>
          <w:ilvl w:val="0"/>
          <w:numId w:val="44"/>
        </w:numPr>
        <w:tabs>
          <w:tab w:val="clear" w:pos="720"/>
          <w:tab w:val="num" w:pos="360"/>
        </w:tabs>
        <w:spacing w:before="120"/>
        <w:ind w:left="851" w:hanging="425"/>
        <w:jc w:val="both"/>
        <w:rPr>
          <w:rStyle w:val="fontstyle01"/>
          <w:rFonts w:ascii="Times New Roman" w:hAnsi="Times New Roman"/>
        </w:rPr>
      </w:pPr>
      <w:r w:rsidRPr="0068510C">
        <w:rPr>
          <w:rStyle w:val="fontstyle01"/>
          <w:rFonts w:ascii="Times New Roman" w:hAnsi="Times New Roman"/>
        </w:rPr>
        <w:t>Phạt tiền từ 3</w:t>
      </w:r>
      <w:r w:rsidR="001F53AA" w:rsidRPr="0068510C">
        <w:rPr>
          <w:rStyle w:val="fontstyle01"/>
          <w:rFonts w:ascii="Times New Roman" w:hAnsi="Times New Roman"/>
        </w:rPr>
        <w:t xml:space="preserve"> triệu</w:t>
      </w:r>
      <w:r w:rsidRPr="0068510C">
        <w:rPr>
          <w:rStyle w:val="fontstyle01"/>
          <w:rFonts w:ascii="Times New Roman" w:hAnsi="Times New Roman"/>
        </w:rPr>
        <w:t xml:space="preserve"> đồng đến 5</w:t>
      </w:r>
      <w:r w:rsidR="001F53AA" w:rsidRPr="0068510C">
        <w:rPr>
          <w:rStyle w:val="fontstyle01"/>
          <w:rFonts w:ascii="Times New Roman" w:hAnsi="Times New Roman"/>
        </w:rPr>
        <w:t xml:space="preserve"> triệu</w:t>
      </w:r>
      <w:r w:rsidRPr="0068510C">
        <w:rPr>
          <w:rStyle w:val="fontstyle01"/>
          <w:rFonts w:ascii="Times New Roman" w:hAnsi="Times New Roman"/>
        </w:rPr>
        <w:t xml:space="preserve"> đồng đối với hành vi sử dụng thuốc lá điện tử, thuốc lá nung nóng</w:t>
      </w:r>
      <w:r w:rsidRPr="0068510C">
        <w:rPr>
          <w:rStyle w:val="fontstyle01"/>
          <w:rFonts w:ascii="Times New Roman" w:hAnsi="Times New Roman"/>
          <w:i/>
          <w:sz w:val="26"/>
          <w:szCs w:val="26"/>
          <w:lang w:val="vi-VN"/>
        </w:rPr>
        <w:t xml:space="preserve"> (</w:t>
      </w:r>
      <w:r w:rsidRPr="0068510C">
        <w:rPr>
          <w:rStyle w:val="fontstyle01"/>
          <w:rFonts w:ascii="Times New Roman" w:hAnsi="Times New Roman"/>
          <w:i/>
          <w:sz w:val="26"/>
          <w:szCs w:val="26"/>
        </w:rPr>
        <w:t xml:space="preserve">Nghị định </w:t>
      </w:r>
      <w:r w:rsidR="00D17805">
        <w:rPr>
          <w:rStyle w:val="fontstyle01"/>
          <w:rFonts w:ascii="Times New Roman" w:hAnsi="Times New Roman"/>
          <w:i/>
          <w:sz w:val="26"/>
          <w:szCs w:val="26"/>
        </w:rPr>
        <w:t xml:space="preserve">số </w:t>
      </w:r>
      <w:bookmarkStart w:id="2" w:name="_GoBack"/>
      <w:bookmarkEnd w:id="2"/>
      <w:r w:rsidRPr="0068510C">
        <w:rPr>
          <w:rStyle w:val="fontstyle01"/>
          <w:rFonts w:ascii="Times New Roman" w:hAnsi="Times New Roman"/>
          <w:i/>
          <w:sz w:val="26"/>
          <w:szCs w:val="26"/>
        </w:rPr>
        <w:t>90/2026/NĐ-CP).</w:t>
      </w:r>
    </w:p>
    <w:p w14:paraId="3905937D" w14:textId="2B3DE89D" w:rsidR="002043E8" w:rsidRDefault="002043E8" w:rsidP="0068510C">
      <w:pPr>
        <w:pStyle w:val="ListParagraph"/>
        <w:numPr>
          <w:ilvl w:val="0"/>
          <w:numId w:val="44"/>
        </w:numPr>
        <w:tabs>
          <w:tab w:val="clear" w:pos="720"/>
          <w:tab w:val="num" w:pos="360"/>
        </w:tabs>
        <w:spacing w:before="120" w:after="0" w:line="240" w:lineRule="auto"/>
        <w:ind w:left="851" w:hanging="425"/>
        <w:contextualSpacing w:val="0"/>
        <w:jc w:val="both"/>
        <w:rPr>
          <w:rStyle w:val="fontstyle01"/>
          <w:rFonts w:ascii="Times New Roman" w:hAnsi="Times New Roman"/>
          <w:lang w:val="en-US"/>
        </w:rPr>
      </w:pPr>
      <w:r w:rsidRPr="00587071">
        <w:rPr>
          <w:rStyle w:val="fontstyle01"/>
          <w:rFonts w:ascii="Times New Roman" w:hAnsi="Times New Roman"/>
          <w:lang w:val="en-US"/>
        </w:rPr>
        <w:t>Sử dụng thuốc lá là nguyên nhân chính gây ung thư phổi, nhồi máu cơ tim, bệnh phổi tắc nghẽn mạn tính, đột quỵ...</w:t>
      </w:r>
    </w:p>
    <w:p w14:paraId="25F7FD00" w14:textId="392FB410" w:rsidR="002043E8" w:rsidRPr="00587071" w:rsidRDefault="002043E8" w:rsidP="0068510C">
      <w:pPr>
        <w:numPr>
          <w:ilvl w:val="0"/>
          <w:numId w:val="44"/>
        </w:numPr>
        <w:tabs>
          <w:tab w:val="clear" w:pos="720"/>
          <w:tab w:val="num" w:pos="360"/>
        </w:tabs>
        <w:spacing w:before="120"/>
        <w:ind w:left="851" w:hanging="425"/>
        <w:jc w:val="both"/>
        <w:rPr>
          <w:rStyle w:val="fontstyle01"/>
          <w:rFonts w:ascii="Times New Roman" w:hAnsi="Times New Roman"/>
        </w:rPr>
      </w:pPr>
      <w:r w:rsidRPr="00587071">
        <w:rPr>
          <w:rStyle w:val="fontstyle01"/>
          <w:rFonts w:ascii="Times New Roman" w:eastAsia="Calibri" w:hAnsi="Times New Roman"/>
        </w:rPr>
        <w:t>Sử dụng thuốc lá là nguyên nhân gây tử vong sớm cho hơn một nửa số người sử dụng.</w:t>
      </w:r>
    </w:p>
    <w:p w14:paraId="7D44FE07" w14:textId="1FB0B983" w:rsidR="002043E8" w:rsidRPr="00587071" w:rsidRDefault="002043E8" w:rsidP="0068510C">
      <w:pPr>
        <w:numPr>
          <w:ilvl w:val="0"/>
          <w:numId w:val="44"/>
        </w:numPr>
        <w:tabs>
          <w:tab w:val="clear" w:pos="720"/>
          <w:tab w:val="num" w:pos="360"/>
        </w:tabs>
        <w:spacing w:before="120"/>
        <w:ind w:left="851" w:hanging="425"/>
        <w:jc w:val="both"/>
        <w:rPr>
          <w:rStyle w:val="fontstyle01"/>
          <w:rFonts w:ascii="Times New Roman" w:hAnsi="Times New Roman"/>
        </w:rPr>
      </w:pPr>
      <w:r w:rsidRPr="00587071">
        <w:rPr>
          <w:rStyle w:val="fontstyle01"/>
          <w:rFonts w:ascii="Times New Roman" w:eastAsia="Calibri" w:hAnsi="Times New Roman"/>
        </w:rPr>
        <w:t>Nicotine trong thuốc lá gây nghiện và ảnh hưởng đến sự phát triển não bộ, đặc biệt ở trẻ</w:t>
      </w:r>
      <w:r w:rsidR="00576EDA">
        <w:rPr>
          <w:rStyle w:val="fontstyle01"/>
          <w:rFonts w:ascii="Times New Roman" w:eastAsia="Calibri" w:hAnsi="Times New Roman"/>
        </w:rPr>
        <w:t xml:space="preserve"> em</w:t>
      </w:r>
      <w:r w:rsidRPr="00587071">
        <w:rPr>
          <w:rStyle w:val="fontstyle01"/>
          <w:rFonts w:ascii="Times New Roman" w:eastAsia="Calibri" w:hAnsi="Times New Roman"/>
        </w:rPr>
        <w:t xml:space="preserve">. </w:t>
      </w:r>
    </w:p>
    <w:p w14:paraId="508F68C9" w14:textId="530C136E" w:rsidR="002043E8" w:rsidRPr="00587071" w:rsidRDefault="002043E8" w:rsidP="0068510C">
      <w:pPr>
        <w:numPr>
          <w:ilvl w:val="0"/>
          <w:numId w:val="44"/>
        </w:numPr>
        <w:tabs>
          <w:tab w:val="clear" w:pos="720"/>
          <w:tab w:val="num" w:pos="360"/>
        </w:tabs>
        <w:spacing w:before="120"/>
        <w:ind w:left="851" w:hanging="425"/>
        <w:jc w:val="both"/>
        <w:rPr>
          <w:rStyle w:val="fontstyle01"/>
          <w:rFonts w:ascii="Times New Roman" w:hAnsi="Times New Roman"/>
        </w:rPr>
      </w:pPr>
      <w:r w:rsidRPr="00587071">
        <w:rPr>
          <w:rStyle w:val="fontstyle01"/>
          <w:rFonts w:ascii="Times New Roman" w:hAnsi="Times New Roman"/>
        </w:rPr>
        <w:t xml:space="preserve">Không có sản phẩm thuốc lá nào </w:t>
      </w:r>
      <w:r w:rsidR="00FA4D4A">
        <w:rPr>
          <w:rStyle w:val="fontstyle01"/>
          <w:rFonts w:ascii="Times New Roman" w:hAnsi="Times New Roman"/>
        </w:rPr>
        <w:t xml:space="preserve">là an toàn </w:t>
      </w:r>
      <w:r w:rsidRPr="00587071">
        <w:rPr>
          <w:rStyle w:val="fontstyle01"/>
          <w:rFonts w:ascii="Times New Roman" w:hAnsi="Times New Roman"/>
        </w:rPr>
        <w:t>cho sức khoẻ.</w:t>
      </w:r>
    </w:p>
    <w:p w14:paraId="28B3D910" w14:textId="0C194993" w:rsidR="002043E8" w:rsidRPr="00587071" w:rsidRDefault="002043E8" w:rsidP="0068510C">
      <w:pPr>
        <w:numPr>
          <w:ilvl w:val="0"/>
          <w:numId w:val="44"/>
        </w:numPr>
        <w:tabs>
          <w:tab w:val="clear" w:pos="720"/>
          <w:tab w:val="num" w:pos="360"/>
        </w:tabs>
        <w:spacing w:before="120"/>
        <w:ind w:left="851" w:hanging="425"/>
        <w:jc w:val="both"/>
        <w:rPr>
          <w:rStyle w:val="fontstyle01"/>
          <w:rFonts w:ascii="Times New Roman" w:hAnsi="Times New Roman"/>
        </w:rPr>
      </w:pPr>
      <w:r w:rsidRPr="00587071">
        <w:rPr>
          <w:rStyle w:val="fontstyle01"/>
          <w:rFonts w:ascii="Times New Roman" w:hAnsi="Times New Roman"/>
        </w:rPr>
        <w:t>Mọi người đều có quyền được sống, làm việc trong môi trường không khói thuốc lá</w:t>
      </w:r>
      <w:r w:rsidR="00F6639D">
        <w:rPr>
          <w:rStyle w:val="fontstyle01"/>
          <w:rFonts w:ascii="Times New Roman" w:hAnsi="Times New Roman"/>
        </w:rPr>
        <w:t>.</w:t>
      </w:r>
    </w:p>
    <w:p w14:paraId="5355004B" w14:textId="41284220" w:rsidR="002043E8" w:rsidRPr="00587071" w:rsidRDefault="002043E8" w:rsidP="0068510C">
      <w:pPr>
        <w:numPr>
          <w:ilvl w:val="0"/>
          <w:numId w:val="44"/>
        </w:numPr>
        <w:tabs>
          <w:tab w:val="clear" w:pos="720"/>
          <w:tab w:val="num" w:pos="360"/>
        </w:tabs>
        <w:spacing w:before="120"/>
        <w:ind w:left="851" w:hanging="425"/>
        <w:jc w:val="both"/>
        <w:rPr>
          <w:rStyle w:val="fontstyle01"/>
          <w:rFonts w:ascii="Times New Roman" w:hAnsi="Times New Roman"/>
        </w:rPr>
      </w:pPr>
      <w:r w:rsidRPr="00587071">
        <w:rPr>
          <w:sz w:val="28"/>
          <w:szCs w:val="28"/>
        </w:rPr>
        <w:t>Cán  bộ, công chức, viên chức, người lao động  thực hiện nghiêm quy định cấm hút thuốc lá tại nơi làm việc</w:t>
      </w:r>
      <w:r w:rsidR="00F6639D">
        <w:rPr>
          <w:sz w:val="28"/>
          <w:szCs w:val="28"/>
        </w:rPr>
        <w:t>.</w:t>
      </w:r>
    </w:p>
    <w:p w14:paraId="7EF91163" w14:textId="4D5065E9" w:rsidR="002043E8" w:rsidRPr="00576EDA" w:rsidRDefault="002043E8" w:rsidP="0068510C">
      <w:pPr>
        <w:numPr>
          <w:ilvl w:val="0"/>
          <w:numId w:val="44"/>
        </w:numPr>
        <w:tabs>
          <w:tab w:val="clear" w:pos="720"/>
          <w:tab w:val="num" w:pos="360"/>
        </w:tabs>
        <w:spacing w:before="120"/>
        <w:ind w:left="851" w:hanging="425"/>
        <w:jc w:val="both"/>
        <w:rPr>
          <w:rStyle w:val="fontstyle01"/>
          <w:rFonts w:ascii="Times New Roman" w:hAnsi="Times New Roman"/>
        </w:rPr>
      </w:pPr>
      <w:r w:rsidRPr="00576EDA">
        <w:rPr>
          <w:rStyle w:val="fontstyle01"/>
          <w:rFonts w:ascii="Times New Roman" w:hAnsi="Times New Roman"/>
        </w:rPr>
        <w:t>Vì sức khỏe của bản thân và gia đìn</w:t>
      </w:r>
      <w:r w:rsidR="00F861CD">
        <w:rPr>
          <w:rStyle w:val="fontstyle01"/>
          <w:rFonts w:ascii="Times New Roman" w:hAnsi="Times New Roman"/>
        </w:rPr>
        <w:t>h, hãy bỏ thuốc lá ngay hôm nay</w:t>
      </w:r>
      <w:r w:rsidR="00F6639D" w:rsidRPr="00576EDA">
        <w:rPr>
          <w:rStyle w:val="fontstyle01"/>
          <w:rFonts w:ascii="Times New Roman" w:hAnsi="Times New Roman"/>
        </w:rPr>
        <w:t>.</w:t>
      </w:r>
    </w:p>
    <w:p w14:paraId="341D027E" w14:textId="2FB73A41" w:rsidR="002043E8" w:rsidRPr="00587071" w:rsidRDefault="002043E8" w:rsidP="0068510C">
      <w:pPr>
        <w:numPr>
          <w:ilvl w:val="0"/>
          <w:numId w:val="44"/>
        </w:numPr>
        <w:tabs>
          <w:tab w:val="clear" w:pos="720"/>
          <w:tab w:val="num" w:pos="360"/>
        </w:tabs>
        <w:spacing w:before="120"/>
        <w:ind w:left="851" w:hanging="425"/>
        <w:jc w:val="both"/>
        <w:rPr>
          <w:rStyle w:val="fontstyle01"/>
          <w:rFonts w:ascii="Times New Roman" w:hAnsi="Times New Roman"/>
        </w:rPr>
      </w:pPr>
      <w:r w:rsidRPr="00587071">
        <w:rPr>
          <w:rStyle w:val="fontstyle01"/>
          <w:rFonts w:ascii="Times New Roman" w:hAnsi="Times New Roman"/>
        </w:rPr>
        <w:t>Yêu thương không chỉ là lời nói – hãy thể hiện bằng việc không hút thuốc</w:t>
      </w:r>
      <w:r w:rsidR="00F6639D">
        <w:rPr>
          <w:rStyle w:val="fontstyle01"/>
          <w:rFonts w:ascii="Times New Roman" w:hAnsi="Times New Roman"/>
        </w:rPr>
        <w:t>.</w:t>
      </w:r>
    </w:p>
    <w:p w14:paraId="57F57B9B" w14:textId="2D5CB6DD" w:rsidR="002043E8" w:rsidRPr="00587071" w:rsidRDefault="002043E8" w:rsidP="0068510C">
      <w:pPr>
        <w:numPr>
          <w:ilvl w:val="0"/>
          <w:numId w:val="44"/>
        </w:numPr>
        <w:tabs>
          <w:tab w:val="clear" w:pos="720"/>
          <w:tab w:val="num" w:pos="360"/>
        </w:tabs>
        <w:spacing w:before="120"/>
        <w:ind w:left="851" w:hanging="425"/>
        <w:jc w:val="both"/>
        <w:rPr>
          <w:rStyle w:val="fontstyle01"/>
          <w:rFonts w:ascii="Times New Roman" w:hAnsi="Times New Roman"/>
        </w:rPr>
      </w:pPr>
      <w:r w:rsidRPr="00587071">
        <w:rPr>
          <w:rStyle w:val="fontstyle01"/>
          <w:rFonts w:ascii="Times New Roman" w:hAnsi="Times New Roman"/>
        </w:rPr>
        <w:t xml:space="preserve"> Bỏ thuốc lá là món quà ý nghĩa nhất bạn dành cho những người thân yêu</w:t>
      </w:r>
      <w:r w:rsidR="00F6639D">
        <w:rPr>
          <w:rStyle w:val="fontstyle01"/>
          <w:rFonts w:ascii="Times New Roman" w:hAnsi="Times New Roman"/>
        </w:rPr>
        <w:t>.</w:t>
      </w:r>
    </w:p>
    <w:sectPr w:rsidR="002043E8" w:rsidRPr="00587071" w:rsidSect="00481A7B">
      <w:headerReference w:type="default" r:id="rId9"/>
      <w:footerReference w:type="even" r:id="rId10"/>
      <w:footerReference w:type="default" r:id="rId11"/>
      <w:endnotePr>
        <w:numFmt w:val="decimal"/>
      </w:endnotePr>
      <w:pgSz w:w="11907" w:h="16839" w:code="9"/>
      <w:pgMar w:top="1134" w:right="1134" w:bottom="1134" w:left="1701" w:header="709" w:footer="7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A86A5" w14:textId="77777777" w:rsidR="00D05471" w:rsidRDefault="00D05471" w:rsidP="00042558">
      <w:r>
        <w:separator/>
      </w:r>
    </w:p>
  </w:endnote>
  <w:endnote w:type="continuationSeparator" w:id="0">
    <w:p w14:paraId="1FB3E08D" w14:textId="77777777" w:rsidR="00D05471" w:rsidRDefault="00D05471" w:rsidP="00042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C4D2AE" w14:textId="77777777" w:rsidR="00842E2C" w:rsidRDefault="00842E2C">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14:paraId="53D30CF0" w14:textId="77777777" w:rsidR="00842E2C" w:rsidRDefault="00842E2C">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F0DD32" w14:textId="7A0DBF14" w:rsidR="00842E2C" w:rsidRDefault="00842E2C" w:rsidP="002B05C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F536BC" w14:textId="77777777" w:rsidR="00D05471" w:rsidRDefault="00D05471" w:rsidP="00042558">
      <w:r>
        <w:separator/>
      </w:r>
    </w:p>
  </w:footnote>
  <w:footnote w:type="continuationSeparator" w:id="0">
    <w:p w14:paraId="19488FA4" w14:textId="77777777" w:rsidR="00D05471" w:rsidRDefault="00D05471" w:rsidP="00042558">
      <w:r>
        <w:continuationSeparator/>
      </w:r>
    </w:p>
  </w:footnote>
  <w:footnote w:id="1">
    <w:p w14:paraId="1A2CFDCB" w14:textId="5DCE59D6" w:rsidR="004170C0" w:rsidRPr="00C114F7" w:rsidRDefault="004170C0">
      <w:pPr>
        <w:pStyle w:val="FootnoteText"/>
        <w:rPr>
          <w:szCs w:val="16"/>
        </w:rPr>
      </w:pPr>
      <w:r w:rsidRPr="00C114F7">
        <w:rPr>
          <w:rStyle w:val="FootnoteReference"/>
          <w:szCs w:val="16"/>
        </w:rPr>
        <w:footnoteRef/>
      </w:r>
      <w:r w:rsidRPr="00C114F7">
        <w:rPr>
          <w:szCs w:val="16"/>
        </w:rPr>
        <w:t xml:space="preserve"> World</w:t>
      </w:r>
      <w:r w:rsidRPr="00C114F7">
        <w:rPr>
          <w:szCs w:val="16"/>
          <w:lang w:val="vi-VN"/>
        </w:rPr>
        <w:t xml:space="preserve"> Health Organization, </w:t>
      </w:r>
      <w:hyperlink r:id="rId1" w:history="1">
        <w:r w:rsidRPr="00C114F7">
          <w:rPr>
            <w:rStyle w:val="Hyperlink"/>
            <w:color w:val="auto"/>
            <w:szCs w:val="16"/>
            <w:lang w:val="vi-VN"/>
          </w:rPr>
          <w:t>https://www.who.int/news/item/17-10-2025-world-no-tobacco-day-2026--unmasking-the-appeal---countering-nicotine-and-tobacco-addiction</w:t>
        </w:r>
      </w:hyperlink>
    </w:p>
  </w:footnote>
  <w:footnote w:id="2">
    <w:p w14:paraId="761F8E27" w14:textId="77687161" w:rsidR="004170C0" w:rsidRPr="00C114F7" w:rsidRDefault="004170C0" w:rsidP="002C3910">
      <w:pPr>
        <w:pStyle w:val="EndnoteText"/>
        <w:rPr>
          <w:rFonts w:ascii="Times New Roman" w:hAnsi="Times New Roman" w:cs="Times New Roman"/>
          <w:szCs w:val="16"/>
        </w:rPr>
      </w:pPr>
      <w:r w:rsidRPr="00C114F7">
        <w:rPr>
          <w:rStyle w:val="FootnoteReference"/>
          <w:rFonts w:ascii="Times New Roman" w:hAnsi="Times New Roman" w:cs="Times New Roman"/>
          <w:szCs w:val="16"/>
        </w:rPr>
        <w:footnoteRef/>
      </w:r>
      <w:r w:rsidRPr="00C114F7">
        <w:rPr>
          <w:rFonts w:ascii="Times New Roman" w:hAnsi="Times New Roman" w:cs="Times New Roman"/>
          <w:szCs w:val="16"/>
        </w:rPr>
        <w:t xml:space="preserve"> </w:t>
      </w:r>
      <w:r w:rsidR="002C3910" w:rsidRPr="00C114F7">
        <w:rPr>
          <w:rFonts w:ascii="Times New Roman" w:hAnsi="Times New Roman" w:cs="Times New Roman"/>
          <w:szCs w:val="16"/>
        </w:rPr>
        <w:t>World</w:t>
      </w:r>
      <w:r w:rsidR="002C3910" w:rsidRPr="00C114F7">
        <w:rPr>
          <w:rFonts w:ascii="Times New Roman" w:hAnsi="Times New Roman" w:cs="Times New Roman"/>
          <w:szCs w:val="16"/>
          <w:lang w:val="vi-VN"/>
        </w:rPr>
        <w:t xml:space="preserve"> Health Organization, </w:t>
      </w:r>
      <w:r w:rsidR="002C3910" w:rsidRPr="00C114F7">
        <w:rPr>
          <w:rFonts w:ascii="Times New Roman" w:hAnsi="Times New Roman" w:cs="Times New Roman"/>
          <w:szCs w:val="16"/>
        </w:rPr>
        <w:t>https://www.who.int/southeastasia/health-topics/tobacco</w:t>
      </w:r>
    </w:p>
  </w:footnote>
  <w:footnote w:id="3">
    <w:p w14:paraId="72388EFC" w14:textId="32198A75" w:rsidR="002C3910" w:rsidRPr="00C114F7" w:rsidRDefault="002C3910">
      <w:pPr>
        <w:pStyle w:val="FootnoteText"/>
        <w:rPr>
          <w:szCs w:val="16"/>
        </w:rPr>
      </w:pPr>
      <w:r w:rsidRPr="00C114F7">
        <w:rPr>
          <w:rStyle w:val="FootnoteReference"/>
          <w:szCs w:val="16"/>
        </w:rPr>
        <w:footnoteRef/>
      </w:r>
      <w:r w:rsidRPr="00C114F7">
        <w:rPr>
          <w:szCs w:val="16"/>
        </w:rPr>
        <w:t xml:space="preserve"> Bộ</w:t>
      </w:r>
      <w:r w:rsidRPr="00C114F7">
        <w:rPr>
          <w:szCs w:val="16"/>
          <w:lang w:val="vi-VN"/>
        </w:rPr>
        <w:t xml:space="preserve"> Y tế (2026), Báo cáo đánh giá tác động chính sách</w:t>
      </w:r>
    </w:p>
  </w:footnote>
  <w:footnote w:id="4">
    <w:p w14:paraId="40EA3DC4" w14:textId="77777777" w:rsidR="006F4DDB" w:rsidRPr="00C114F7" w:rsidRDefault="006F4DDB" w:rsidP="006F4DDB">
      <w:pPr>
        <w:pStyle w:val="FootnoteText"/>
        <w:rPr>
          <w:szCs w:val="16"/>
        </w:rPr>
      </w:pPr>
      <w:r w:rsidRPr="00C114F7">
        <w:rPr>
          <w:rStyle w:val="FootnoteReference"/>
          <w:szCs w:val="16"/>
        </w:rPr>
        <w:footnoteRef/>
      </w:r>
      <w:r w:rsidRPr="00C114F7">
        <w:rPr>
          <w:szCs w:val="16"/>
        </w:rPr>
        <w:t xml:space="preserve"> World</w:t>
      </w:r>
      <w:r w:rsidRPr="00C114F7">
        <w:rPr>
          <w:szCs w:val="16"/>
          <w:lang w:val="vi-VN"/>
        </w:rPr>
        <w:t xml:space="preserve"> Health Organization, </w:t>
      </w:r>
      <w:hyperlink r:id="rId2" w:history="1">
        <w:r w:rsidRPr="00C114F7">
          <w:rPr>
            <w:rStyle w:val="Hyperlink"/>
            <w:color w:val="auto"/>
            <w:szCs w:val="16"/>
            <w:lang w:val="vi-VN"/>
          </w:rPr>
          <w:t>https://www.who.int/news/item/17-10-2025-world-no-tobacco-day-2026--unmasking-the-appeal---countering-nicotine-and-tobacco-addiction</w:t>
        </w:r>
      </w:hyperlink>
    </w:p>
  </w:footnote>
  <w:footnote w:id="5">
    <w:p w14:paraId="3446D588" w14:textId="46A129BF" w:rsidR="002C3910" w:rsidRPr="00C114F7" w:rsidRDefault="002C3910" w:rsidP="007E2C7A">
      <w:pPr>
        <w:pStyle w:val="EndnoteText"/>
        <w:rPr>
          <w:rFonts w:ascii="Times New Roman" w:hAnsi="Times New Roman" w:cs="Times New Roman"/>
          <w:szCs w:val="16"/>
        </w:rPr>
      </w:pPr>
      <w:r w:rsidRPr="00C114F7">
        <w:rPr>
          <w:rStyle w:val="FootnoteReference"/>
          <w:rFonts w:ascii="Times New Roman" w:hAnsi="Times New Roman" w:cs="Times New Roman"/>
          <w:szCs w:val="16"/>
        </w:rPr>
        <w:footnoteRef/>
      </w:r>
      <w:r w:rsidRPr="00C114F7">
        <w:rPr>
          <w:rFonts w:ascii="Times New Roman" w:hAnsi="Times New Roman" w:cs="Times New Roman"/>
          <w:szCs w:val="16"/>
        </w:rPr>
        <w:t xml:space="preserve"> </w:t>
      </w:r>
      <w:hyperlink r:id="rId3" w:history="1">
        <w:r w:rsidRPr="00C114F7">
          <w:rPr>
            <w:rStyle w:val="Hyperlink"/>
            <w:rFonts w:ascii="Times New Roman" w:hAnsi="Times New Roman" w:cs="Times New Roman"/>
            <w:color w:val="auto"/>
            <w:szCs w:val="16"/>
          </w:rPr>
          <w:t>https://exposetobacco.org/campaigns/tobacco-nicotine-menu-of-addiction/</w:t>
        </w:r>
      </w:hyperlink>
    </w:p>
  </w:footnote>
  <w:footnote w:id="6">
    <w:p w14:paraId="457F8149" w14:textId="0C13FC99" w:rsidR="002C3910" w:rsidRPr="00C114F7" w:rsidRDefault="002C3910" w:rsidP="007E2C7A">
      <w:pPr>
        <w:pStyle w:val="EndnoteText"/>
        <w:rPr>
          <w:rFonts w:ascii="Times New Roman" w:hAnsi="Times New Roman" w:cs="Times New Roman"/>
          <w:szCs w:val="16"/>
        </w:rPr>
      </w:pPr>
      <w:r w:rsidRPr="00C114F7">
        <w:rPr>
          <w:rStyle w:val="FootnoteReference"/>
          <w:rFonts w:ascii="Times New Roman" w:hAnsi="Times New Roman" w:cs="Times New Roman"/>
          <w:szCs w:val="16"/>
        </w:rPr>
        <w:footnoteRef/>
      </w:r>
      <w:r w:rsidRPr="00C114F7">
        <w:rPr>
          <w:rFonts w:ascii="Times New Roman" w:hAnsi="Times New Roman" w:cs="Times New Roman"/>
          <w:szCs w:val="16"/>
        </w:rPr>
        <w:t xml:space="preserve"> </w:t>
      </w:r>
      <w:hyperlink r:id="rId4" w:history="1">
        <w:r w:rsidR="007E2C7A" w:rsidRPr="00C114F7">
          <w:rPr>
            <w:rStyle w:val="Hyperlink"/>
            <w:rFonts w:ascii="Times New Roman" w:hAnsi="Times New Roman" w:cs="Times New Roman"/>
            <w:color w:val="auto"/>
            <w:szCs w:val="16"/>
          </w:rPr>
          <w:t>https://www.tobaccotactics.org/article/architects-of-addiction-how-industry-designs-products-to-be-appealing-and-addictive/</w:t>
        </w:r>
      </w:hyperlink>
    </w:p>
  </w:footnote>
  <w:footnote w:id="7">
    <w:p w14:paraId="7A38260D" w14:textId="776F837B" w:rsidR="007E2C7A" w:rsidRPr="00C114F7" w:rsidRDefault="007E2C7A">
      <w:pPr>
        <w:pStyle w:val="FootnoteText"/>
        <w:rPr>
          <w:szCs w:val="16"/>
        </w:rPr>
      </w:pPr>
      <w:r w:rsidRPr="00C114F7">
        <w:rPr>
          <w:rStyle w:val="FootnoteReference"/>
          <w:szCs w:val="16"/>
        </w:rPr>
        <w:footnoteRef/>
      </w:r>
      <w:r w:rsidRPr="00C114F7">
        <w:rPr>
          <w:szCs w:val="16"/>
        </w:rPr>
        <w:t xml:space="preserve"> </w:t>
      </w:r>
      <w:hyperlink r:id="rId5">
        <w:r w:rsidRPr="00C114F7">
          <w:rPr>
            <w:rStyle w:val="Hyperlink"/>
            <w:color w:val="auto"/>
            <w:szCs w:val="16"/>
          </w:rPr>
          <w:t>https://exposetobacco.org/news/the-reality-behind-pmis-transformation-narrative/</w:t>
        </w:r>
      </w:hyperlink>
    </w:p>
  </w:footnote>
  <w:footnote w:id="8">
    <w:p w14:paraId="4E553036" w14:textId="7E45E4F4" w:rsidR="007E2C7A" w:rsidRPr="00C114F7" w:rsidRDefault="007E2C7A">
      <w:pPr>
        <w:pStyle w:val="FootnoteText"/>
        <w:rPr>
          <w:szCs w:val="16"/>
        </w:rPr>
      </w:pPr>
      <w:r w:rsidRPr="00C114F7">
        <w:rPr>
          <w:rStyle w:val="FootnoteReference"/>
          <w:szCs w:val="16"/>
        </w:rPr>
        <w:footnoteRef/>
      </w:r>
      <w:r w:rsidRPr="00C114F7">
        <w:rPr>
          <w:szCs w:val="16"/>
        </w:rPr>
        <w:t xml:space="preserve"> </w:t>
      </w:r>
      <w:hyperlink r:id="rId6">
        <w:r w:rsidRPr="00C114F7">
          <w:rPr>
            <w:rStyle w:val="Hyperlink"/>
            <w:color w:val="auto"/>
            <w:szCs w:val="16"/>
          </w:rPr>
          <w:t>https://exposetobacco.org/news/50-years-of-using-f1-to-sell-addiction/</w:t>
        </w:r>
      </w:hyperlink>
    </w:p>
  </w:footnote>
  <w:footnote w:id="9">
    <w:p w14:paraId="78EED134" w14:textId="34A83042" w:rsidR="007E2C7A" w:rsidRPr="00C114F7" w:rsidRDefault="007E2C7A" w:rsidP="007E2C7A">
      <w:pPr>
        <w:pStyle w:val="EndnoteText"/>
        <w:rPr>
          <w:rFonts w:ascii="Times New Roman" w:hAnsi="Times New Roman" w:cs="Times New Roman"/>
          <w:szCs w:val="16"/>
        </w:rPr>
      </w:pPr>
      <w:r w:rsidRPr="00C114F7">
        <w:rPr>
          <w:rStyle w:val="FootnoteReference"/>
          <w:rFonts w:ascii="Times New Roman" w:hAnsi="Times New Roman" w:cs="Times New Roman"/>
          <w:szCs w:val="16"/>
        </w:rPr>
        <w:footnoteRef/>
      </w:r>
      <w:r w:rsidRPr="00C114F7">
        <w:rPr>
          <w:rFonts w:ascii="Times New Roman" w:hAnsi="Times New Roman" w:cs="Times New Roman"/>
          <w:szCs w:val="16"/>
        </w:rPr>
        <w:t xml:space="preserve"> </w:t>
      </w:r>
      <w:hyperlink r:id="rId7">
        <w:r w:rsidRPr="00C114F7">
          <w:rPr>
            <w:rStyle w:val="Hyperlink"/>
            <w:rFonts w:ascii="Times New Roman" w:hAnsi="Times New Roman" w:cs="Times New Roman"/>
            <w:color w:val="auto"/>
            <w:szCs w:val="16"/>
          </w:rPr>
          <w:t>https://exposetobacco.org/resource/lights-camera-addiction/</w:t>
        </w:r>
      </w:hyperlink>
    </w:p>
  </w:footnote>
  <w:footnote w:id="10">
    <w:p w14:paraId="73C63D7F" w14:textId="2B037BE6" w:rsidR="00B52899" w:rsidRPr="00C114F7" w:rsidRDefault="00B52899">
      <w:pPr>
        <w:pStyle w:val="FootnoteText"/>
        <w:rPr>
          <w:szCs w:val="16"/>
        </w:rPr>
      </w:pPr>
      <w:r w:rsidRPr="00C114F7">
        <w:rPr>
          <w:rStyle w:val="FootnoteReference"/>
          <w:szCs w:val="16"/>
        </w:rPr>
        <w:footnoteRef/>
      </w:r>
      <w:r w:rsidRPr="00C114F7">
        <w:rPr>
          <w:szCs w:val="16"/>
        </w:rPr>
        <w:t xml:space="preserve"> World</w:t>
      </w:r>
      <w:r w:rsidRPr="00C114F7">
        <w:rPr>
          <w:szCs w:val="16"/>
          <w:lang w:val="vi-VN"/>
        </w:rPr>
        <w:t xml:space="preserve"> Health Organization, </w:t>
      </w:r>
      <w:hyperlink r:id="rId8" w:history="1">
        <w:r w:rsidRPr="00C114F7">
          <w:rPr>
            <w:rStyle w:val="Hyperlink"/>
            <w:color w:val="auto"/>
            <w:szCs w:val="16"/>
            <w:lang w:val="vi-VN"/>
          </w:rPr>
          <w:t>https://www.who.int/news/item/17-10-2025-world-no-tobacco-day-2026--unmasking-the-appeal---countering-nicotine-and-tobacco-addiction</w:t>
        </w:r>
      </w:hyperlink>
    </w:p>
  </w:footnote>
  <w:footnote w:id="11">
    <w:p w14:paraId="014C9701" w14:textId="615D1A2C" w:rsidR="00B52899" w:rsidRPr="00C114F7" w:rsidRDefault="00B52899" w:rsidP="00B52899">
      <w:pPr>
        <w:pStyle w:val="EndnoteText"/>
        <w:rPr>
          <w:rFonts w:ascii="Times New Roman" w:hAnsi="Times New Roman" w:cs="Times New Roman"/>
          <w:szCs w:val="16"/>
        </w:rPr>
      </w:pPr>
      <w:r w:rsidRPr="00C114F7">
        <w:rPr>
          <w:rStyle w:val="FootnoteReference"/>
          <w:rFonts w:ascii="Times New Roman" w:hAnsi="Times New Roman" w:cs="Times New Roman"/>
          <w:szCs w:val="16"/>
        </w:rPr>
        <w:footnoteRef/>
      </w:r>
      <w:r w:rsidRPr="00C114F7">
        <w:rPr>
          <w:rFonts w:ascii="Times New Roman" w:hAnsi="Times New Roman" w:cs="Times New Roman"/>
          <w:szCs w:val="16"/>
        </w:rPr>
        <w:t xml:space="preserve"> </w:t>
      </w:r>
      <w:hyperlink r:id="rId9">
        <w:r w:rsidRPr="00C114F7">
          <w:rPr>
            <w:rStyle w:val="Hyperlink"/>
            <w:rFonts w:ascii="Times New Roman" w:hAnsi="Times New Roman" w:cs="Times New Roman"/>
            <w:color w:val="auto"/>
            <w:szCs w:val="16"/>
          </w:rPr>
          <w:t>https://exposetobacco.org/wp-content/uploads/Behind_Closed_Doors_EN.pdf</w:t>
        </w:r>
      </w:hyperlink>
    </w:p>
  </w:footnote>
  <w:footnote w:id="12">
    <w:p w14:paraId="094573B6" w14:textId="77777777" w:rsidR="00842E2C" w:rsidRPr="00C114F7" w:rsidRDefault="00842E2C" w:rsidP="00747DC2">
      <w:pPr>
        <w:pStyle w:val="FootnoteText"/>
        <w:jc w:val="both"/>
        <w:rPr>
          <w:szCs w:val="16"/>
          <w:lang w:val="vi-VN"/>
        </w:rPr>
      </w:pPr>
      <w:r w:rsidRPr="00C114F7">
        <w:rPr>
          <w:rStyle w:val="FootnoteCharacters"/>
          <w:szCs w:val="16"/>
        </w:rPr>
        <w:footnoteRef/>
      </w:r>
      <w:r w:rsidRPr="00C114F7">
        <w:rPr>
          <w:szCs w:val="16"/>
          <w:lang w:val="vi-VN"/>
        </w:rPr>
        <w:t xml:space="preserve"> Điều tra tình hình sử dụng thuốc lá ở người trưởng thành (trên 15 tuổi) tại </w:t>
      </w:r>
      <w:r w:rsidRPr="00C114F7">
        <w:rPr>
          <w:szCs w:val="16"/>
        </w:rPr>
        <w:t>Việt Nam</w:t>
      </w:r>
      <w:r w:rsidRPr="00C114F7">
        <w:rPr>
          <w:szCs w:val="16"/>
          <w:lang w:val="vi-VN"/>
        </w:rPr>
        <w:t xml:space="preserve">, Năm 2015 </w:t>
      </w:r>
    </w:p>
  </w:footnote>
  <w:footnote w:id="13">
    <w:p w14:paraId="4874B521" w14:textId="77777777" w:rsidR="00842E2C" w:rsidRPr="00C114F7" w:rsidRDefault="00842E2C" w:rsidP="00747DC2">
      <w:pPr>
        <w:pStyle w:val="FootnoteText"/>
        <w:rPr>
          <w:szCs w:val="16"/>
          <w:lang w:val="vi-VN"/>
        </w:rPr>
      </w:pPr>
      <w:r w:rsidRPr="00C114F7">
        <w:rPr>
          <w:rStyle w:val="FootnoteReference"/>
          <w:rFonts w:eastAsia="Calibri"/>
          <w:szCs w:val="16"/>
        </w:rPr>
        <w:footnoteRef/>
      </w:r>
      <w:r w:rsidRPr="00C114F7">
        <w:rPr>
          <w:szCs w:val="16"/>
          <w:lang w:val="vi-VN"/>
        </w:rPr>
        <w:t xml:space="preserve"> Điều tra tình hình sử dụng thuốc lá ở người trưởng thành (trên 15 tuổi) tại 3</w:t>
      </w:r>
      <w:r w:rsidRPr="00C114F7">
        <w:rPr>
          <w:szCs w:val="16"/>
        </w:rPr>
        <w:t>7</w:t>
      </w:r>
      <w:r w:rsidRPr="00C114F7">
        <w:rPr>
          <w:szCs w:val="16"/>
          <w:lang w:val="vi-VN"/>
        </w:rPr>
        <w:t xml:space="preserve"> tỉnh, thành phố, năm 202</w:t>
      </w:r>
      <w:r w:rsidRPr="00C114F7">
        <w:rPr>
          <w:szCs w:val="16"/>
        </w:rPr>
        <w:t>4</w:t>
      </w:r>
      <w:r w:rsidRPr="00C114F7">
        <w:rPr>
          <w:szCs w:val="16"/>
          <w:lang w:val="vi-VN"/>
        </w:rPr>
        <w:t xml:space="preserve"> .</w:t>
      </w:r>
    </w:p>
  </w:footnote>
  <w:footnote w:id="14">
    <w:p w14:paraId="2D02B2F3" w14:textId="77777777" w:rsidR="00842E2C" w:rsidRPr="00C114F7" w:rsidRDefault="00842E2C" w:rsidP="00747DC2">
      <w:pPr>
        <w:pStyle w:val="FootnoteText"/>
        <w:jc w:val="both"/>
        <w:rPr>
          <w:szCs w:val="16"/>
          <w:lang w:val="af-ZA"/>
        </w:rPr>
      </w:pPr>
      <w:r w:rsidRPr="00C114F7">
        <w:rPr>
          <w:rStyle w:val="FootnoteCharacters"/>
          <w:szCs w:val="16"/>
        </w:rPr>
        <w:footnoteRef/>
      </w:r>
      <w:r w:rsidRPr="00C114F7">
        <w:rPr>
          <w:rFonts w:eastAsia="Calibri"/>
          <w:kern w:val="2"/>
          <w:szCs w:val="16"/>
          <w:lang w:val="vi-VN"/>
        </w:rPr>
        <w:t xml:space="preserve">Kinh nghiệm </w:t>
      </w:r>
      <w:r w:rsidRPr="00C114F7">
        <w:rPr>
          <w:rFonts w:eastAsia="Calibri"/>
          <w:szCs w:val="16"/>
          <w:lang w:val="af-ZA"/>
        </w:rPr>
        <w:t>của các nước cho thấy vì thuốc lá là sản phẩm gây nghiện, nên PCTHTL là một chương trình lâu dài, cần có những chính sách mạnh mẽ về tăng thuế, xây dựng môi trường không khói thuốc, truyền thông hiệu quả, ...với nỗ lực thường xuyên và bền bỉ mới có thể giảm được tỷ lệ sử dụng thuốc lá. Ví dụ: tại Thái Lan, trong hơn 2 thập kỷ qua, mỗi năm tỷ lệ hút thuốc của Thái Lan chỉ giảm được khoảng 0,5% (từ 32% năm 1991 xuống còn 19.9% năm 2015). Philippines giảm tỉ lệ hút thuốc ở nam giới từ 42% năm 2008 xuống 40,3% năm 2015</w:t>
      </w:r>
    </w:p>
  </w:footnote>
  <w:footnote w:id="15">
    <w:p w14:paraId="5B97CF8B" w14:textId="77777777" w:rsidR="00842E2C" w:rsidRPr="00C114F7" w:rsidRDefault="00842E2C" w:rsidP="00747DC2">
      <w:pPr>
        <w:pStyle w:val="FootnoteText"/>
        <w:rPr>
          <w:rFonts w:eastAsia="Calibri"/>
          <w:kern w:val="2"/>
          <w:szCs w:val="16"/>
          <w:lang w:val="vi-VN"/>
        </w:rPr>
      </w:pPr>
      <w:r w:rsidRPr="00C114F7">
        <w:rPr>
          <w:rStyle w:val="FootnoteCharacters"/>
          <w:szCs w:val="16"/>
        </w:rPr>
        <w:footnoteRef/>
      </w:r>
      <w:r w:rsidRPr="00C114F7">
        <w:rPr>
          <w:rStyle w:val="FootnoteCharacters"/>
          <w:szCs w:val="16"/>
          <w:lang w:val="af-ZA"/>
        </w:rPr>
        <w:t xml:space="preserve"> </w:t>
      </w:r>
      <w:r w:rsidRPr="00C114F7">
        <w:rPr>
          <w:rFonts w:eastAsia="Calibri"/>
          <w:kern w:val="2"/>
          <w:szCs w:val="16"/>
          <w:lang w:val="vi-VN"/>
        </w:rPr>
        <w:t>Điều tra tình hình sử dụng thuốc lá học sinh từ 13-15 tuổi, Đại học Y Hà Nội, năm 2022.</w:t>
      </w:r>
    </w:p>
  </w:footnote>
  <w:footnote w:id="16">
    <w:p w14:paraId="25DE8AD8" w14:textId="14972CCD" w:rsidR="00384A63" w:rsidRPr="00C114F7" w:rsidRDefault="00384A63">
      <w:pPr>
        <w:pStyle w:val="FootnoteText"/>
        <w:rPr>
          <w:szCs w:val="16"/>
        </w:rPr>
      </w:pPr>
      <w:r w:rsidRPr="00C114F7">
        <w:rPr>
          <w:rStyle w:val="FootnoteReference"/>
          <w:szCs w:val="16"/>
        </w:rPr>
        <w:footnoteRef/>
      </w:r>
      <w:r w:rsidRPr="00C114F7">
        <w:rPr>
          <w:szCs w:val="16"/>
        </w:rPr>
        <w:t xml:space="preserve"> </w:t>
      </w:r>
      <w:r w:rsidR="001A2282" w:rsidRPr="00C114F7">
        <w:rPr>
          <w:szCs w:val="16"/>
        </w:rPr>
        <w:t>Đại</w:t>
      </w:r>
      <w:r w:rsidR="001A2282" w:rsidRPr="00C114F7">
        <w:rPr>
          <w:szCs w:val="16"/>
          <w:lang w:val="vi-VN"/>
        </w:rPr>
        <w:t xml:space="preserve"> học Y tế Công Cộng, </w:t>
      </w:r>
      <w:r w:rsidR="001A2282" w:rsidRPr="00C114F7">
        <w:rPr>
          <w:szCs w:val="16"/>
          <w:lang w:val="vi"/>
        </w:rPr>
        <w:t>Điều tra về sử dụng thuốc lá mới ở nhóm học sinh THCS và THPT ở 11 tỉnh thành</w:t>
      </w:r>
    </w:p>
  </w:footnote>
  <w:footnote w:id="17">
    <w:p w14:paraId="637B9C18" w14:textId="27789A94" w:rsidR="001A2282" w:rsidRPr="00C114F7" w:rsidRDefault="001A2282">
      <w:pPr>
        <w:pStyle w:val="FootnoteText"/>
        <w:rPr>
          <w:szCs w:val="16"/>
        </w:rPr>
      </w:pPr>
      <w:r w:rsidRPr="00C114F7">
        <w:rPr>
          <w:rStyle w:val="FootnoteReference"/>
          <w:szCs w:val="16"/>
        </w:rPr>
        <w:footnoteRef/>
      </w:r>
      <w:r w:rsidRPr="00C114F7">
        <w:rPr>
          <w:szCs w:val="16"/>
        </w:rPr>
        <w:t xml:space="preserve"> PGAST</w:t>
      </w:r>
      <w:r w:rsidRPr="00C114F7">
        <w:rPr>
          <w:szCs w:val="16"/>
          <w:lang w:val="vi-VN"/>
        </w:rPr>
        <w:t>, 2020</w:t>
      </w:r>
    </w:p>
  </w:footnote>
  <w:footnote w:id="18">
    <w:p w14:paraId="31AA1B7F" w14:textId="78E18871" w:rsidR="001A2282" w:rsidRPr="00187FD1" w:rsidRDefault="001A2282">
      <w:pPr>
        <w:pStyle w:val="FootnoteText"/>
        <w:rPr>
          <w:szCs w:val="16"/>
        </w:rPr>
      </w:pPr>
      <w:r w:rsidRPr="00187FD1">
        <w:rPr>
          <w:rStyle w:val="FootnoteReference"/>
          <w:szCs w:val="16"/>
        </w:rPr>
        <w:footnoteRef/>
      </w:r>
      <w:r w:rsidRPr="00187FD1">
        <w:rPr>
          <w:szCs w:val="16"/>
        </w:rPr>
        <w:t xml:space="preserve"> Tổ chức Y Tế thế giới tại Việt Nam( 2024),  Ngành công nghiệp thuốc lá đang can thiệp nhằm phá hoại công cuộc bảo vệ sức khỏe cộng đồng</w:t>
      </w:r>
    </w:p>
  </w:footnote>
  <w:footnote w:id="19">
    <w:p w14:paraId="40F9F068" w14:textId="3BC9C85C" w:rsidR="001A2282" w:rsidRPr="00187FD1" w:rsidRDefault="001A2282">
      <w:pPr>
        <w:pStyle w:val="FootnoteText"/>
        <w:rPr>
          <w:szCs w:val="16"/>
        </w:rPr>
      </w:pPr>
      <w:r w:rsidRPr="00187FD1">
        <w:rPr>
          <w:rStyle w:val="FootnoteReference"/>
          <w:szCs w:val="16"/>
        </w:rPr>
        <w:footnoteRef/>
      </w:r>
      <w:r w:rsidRPr="00187FD1">
        <w:rPr>
          <w:szCs w:val="16"/>
        </w:rPr>
        <w:t xml:space="preserve"> </w:t>
      </w:r>
      <w:r w:rsidR="00F775D0" w:rsidRPr="00187FD1">
        <w:rPr>
          <w:szCs w:val="16"/>
        </w:rPr>
        <w:t>https://profglantz.com/2026/04/14/nicotine-pouches-maintain-the-nicotine-market-for-tobacco-companies/</w:t>
      </w:r>
    </w:p>
  </w:footnote>
  <w:footnote w:id="20">
    <w:p w14:paraId="06231EB0" w14:textId="2619D8D5" w:rsidR="003B3EAF" w:rsidRPr="00187FD1" w:rsidRDefault="003B3EAF">
      <w:pPr>
        <w:pStyle w:val="FootnoteText"/>
        <w:rPr>
          <w:szCs w:val="16"/>
        </w:rPr>
      </w:pPr>
      <w:r w:rsidRPr="00187FD1">
        <w:rPr>
          <w:rStyle w:val="FootnoteReference"/>
          <w:szCs w:val="16"/>
        </w:rPr>
        <w:footnoteRef/>
      </w:r>
      <w:r w:rsidRPr="00187FD1">
        <w:rPr>
          <w:szCs w:val="16"/>
        </w:rPr>
        <w:t xml:space="preserve"> </w:t>
      </w:r>
      <w:r w:rsidR="00F775D0" w:rsidRPr="00187FD1">
        <w:rPr>
          <w:szCs w:val="16"/>
        </w:rPr>
        <w:t>https://profglantz.com/2026/01/13/the-gateway-has-two-doors-in-england-too/</w:t>
      </w:r>
    </w:p>
  </w:footnote>
  <w:footnote w:id="21">
    <w:p w14:paraId="573546D1" w14:textId="77777777" w:rsidR="00842E2C" w:rsidRPr="00187FD1" w:rsidRDefault="00842E2C" w:rsidP="008D0DD8">
      <w:pPr>
        <w:pStyle w:val="FootnoteText"/>
        <w:jc w:val="both"/>
        <w:rPr>
          <w:szCs w:val="16"/>
        </w:rPr>
      </w:pPr>
      <w:r w:rsidRPr="00187FD1">
        <w:rPr>
          <w:rStyle w:val="FootnoteReference"/>
          <w:szCs w:val="16"/>
        </w:rPr>
        <w:footnoteRef/>
      </w:r>
      <w:r w:rsidRPr="00187FD1">
        <w:rPr>
          <w:szCs w:val="16"/>
        </w:rPr>
        <w:t xml:space="preserve"> </w:t>
      </w:r>
      <w:r w:rsidRPr="00187FD1">
        <w:rPr>
          <w:rFonts w:eastAsia="Arial"/>
          <w:szCs w:val="16"/>
        </w:rPr>
        <w:t xml:space="preserve">World Health Organization Vietnam. (2024). Align tobacco tax with Viet Nam's goals for health and prosperity – urges WHO. </w:t>
      </w:r>
      <w:hyperlink r:id="rId10">
        <w:r w:rsidRPr="00187FD1">
          <w:rPr>
            <w:rStyle w:val="Hyperlink"/>
            <w:rFonts w:eastAsia="Arial"/>
            <w:color w:val="auto"/>
            <w:szCs w:val="16"/>
          </w:rPr>
          <w:t>https://www.who.int/vietnam/news/commentaries/detail/align-tobacco-tax-with-viet-nam-s-goals-for-health-and-prosperity--urges-who</w:t>
        </w:r>
      </w:hyperlink>
    </w:p>
  </w:footnote>
  <w:footnote w:id="22">
    <w:p w14:paraId="31EA9A37" w14:textId="5A805E9F" w:rsidR="00842E2C" w:rsidRPr="00187FD1" w:rsidRDefault="00842E2C" w:rsidP="00747DC2">
      <w:pPr>
        <w:pStyle w:val="FootnoteText"/>
        <w:rPr>
          <w:szCs w:val="16"/>
        </w:rPr>
      </w:pPr>
      <w:r w:rsidRPr="00187FD1">
        <w:rPr>
          <w:rStyle w:val="FootnoteReference"/>
          <w:szCs w:val="16"/>
        </w:rPr>
        <w:footnoteRef/>
      </w:r>
      <w:r w:rsidRPr="00187FD1">
        <w:rPr>
          <w:szCs w:val="16"/>
        </w:rPr>
        <w:t xml:space="preserve"> </w:t>
      </w:r>
      <w:r w:rsidRPr="00187FD1">
        <w:rPr>
          <w:rFonts w:eastAsia="Arial"/>
          <w:szCs w:val="16"/>
        </w:rPr>
        <w:t xml:space="preserve">BMJ Tobacco Control. (2019). Impoverishing effect of tobacco use in Vietnam. </w:t>
      </w:r>
      <w:hyperlink r:id="rId11" w:history="1">
        <w:r w:rsidRPr="00187FD1">
          <w:rPr>
            <w:rStyle w:val="Hyperlink"/>
            <w:rFonts w:eastAsia="Arial"/>
            <w:color w:val="auto"/>
            <w:szCs w:val="16"/>
          </w:rPr>
          <w:t>https://tobaccocontrol.bmj.com/content/31/Suppl_2/s146</w:t>
        </w:r>
      </w:hyperlink>
    </w:p>
  </w:footnote>
  <w:footnote w:id="23">
    <w:p w14:paraId="23880D8F" w14:textId="51102B34" w:rsidR="003B3EAF" w:rsidRPr="009D3831" w:rsidRDefault="003B3EAF">
      <w:pPr>
        <w:pStyle w:val="FootnoteText"/>
        <w:rPr>
          <w:sz w:val="16"/>
          <w:szCs w:val="16"/>
        </w:rPr>
      </w:pPr>
      <w:r w:rsidRPr="009D3831">
        <w:rPr>
          <w:rStyle w:val="FootnoteReference"/>
          <w:sz w:val="16"/>
          <w:szCs w:val="16"/>
        </w:rPr>
        <w:footnoteRef/>
      </w:r>
      <w:r w:rsidRPr="009D3831">
        <w:rPr>
          <w:sz w:val="16"/>
          <w:szCs w:val="16"/>
        </w:rPr>
        <w:t xml:space="preserve"> </w:t>
      </w:r>
      <w:r w:rsidR="00F775D0" w:rsidRPr="009D3831">
        <w:rPr>
          <w:sz w:val="16"/>
          <w:szCs w:val="16"/>
        </w:rPr>
        <w:t>World</w:t>
      </w:r>
      <w:r w:rsidR="00F775D0" w:rsidRPr="009D3831">
        <w:rPr>
          <w:sz w:val="16"/>
          <w:szCs w:val="16"/>
          <w:lang w:val="vi-VN"/>
        </w:rPr>
        <w:t xml:space="preserve"> Health Organization ( 2023),</w:t>
      </w:r>
      <w:r w:rsidR="00F775D0" w:rsidRPr="009D3831">
        <w:rPr>
          <w:sz w:val="16"/>
          <w:szCs w:val="16"/>
        </w:rPr>
        <w:t xml:space="preserve"> Report</w:t>
      </w:r>
      <w:r w:rsidR="00F775D0" w:rsidRPr="009D3831">
        <w:rPr>
          <w:sz w:val="16"/>
          <w:szCs w:val="16"/>
          <w:lang w:val="vi-VN"/>
        </w:rPr>
        <w:t xml:space="preserve"> on the Global tobacco edidemic, </w:t>
      </w:r>
      <w:r w:rsidR="00F775D0" w:rsidRPr="009D3831">
        <w:rPr>
          <w:sz w:val="16"/>
          <w:szCs w:val="16"/>
        </w:rPr>
        <w:t>Protecting people from tobacco smoke</w:t>
      </w:r>
    </w:p>
  </w:footnote>
  <w:footnote w:id="24">
    <w:p w14:paraId="288F6C34" w14:textId="6E813538" w:rsidR="003B3EAF" w:rsidRPr="009D3831" w:rsidRDefault="003B3EAF">
      <w:pPr>
        <w:pStyle w:val="FootnoteText"/>
        <w:rPr>
          <w:sz w:val="16"/>
          <w:szCs w:val="16"/>
        </w:rPr>
      </w:pPr>
      <w:r w:rsidRPr="009D3831">
        <w:rPr>
          <w:rStyle w:val="FootnoteReference"/>
          <w:sz w:val="16"/>
          <w:szCs w:val="16"/>
        </w:rPr>
        <w:footnoteRef/>
      </w:r>
      <w:r w:rsidRPr="009D3831">
        <w:rPr>
          <w:sz w:val="16"/>
          <w:szCs w:val="16"/>
        </w:rPr>
        <w:t xml:space="preserve"> World</w:t>
      </w:r>
      <w:r w:rsidRPr="009D3831">
        <w:rPr>
          <w:sz w:val="16"/>
          <w:szCs w:val="16"/>
          <w:lang w:val="vi-VN"/>
        </w:rPr>
        <w:t xml:space="preserve"> Health Organization ( 2025),</w:t>
      </w:r>
      <w:r w:rsidRPr="009D3831">
        <w:rPr>
          <w:sz w:val="16"/>
          <w:szCs w:val="16"/>
        </w:rPr>
        <w:t xml:space="preserve"> Report</w:t>
      </w:r>
      <w:r w:rsidRPr="009D3831">
        <w:rPr>
          <w:sz w:val="16"/>
          <w:szCs w:val="16"/>
          <w:lang w:val="vi-VN"/>
        </w:rPr>
        <w:t xml:space="preserve"> on the Global tobacco edidemic, Warning about the dangers of tobacco</w:t>
      </w:r>
    </w:p>
  </w:footnote>
  <w:footnote w:id="25">
    <w:p w14:paraId="5600DD31" w14:textId="5A6526F9" w:rsidR="003B3EAF" w:rsidRPr="009D3831" w:rsidRDefault="003B3EAF" w:rsidP="00A9286E">
      <w:pPr>
        <w:pStyle w:val="EndnoteText"/>
        <w:jc w:val="both"/>
        <w:rPr>
          <w:rFonts w:ascii="Times New Roman" w:hAnsi="Times New Roman" w:cs="Times New Roman"/>
          <w:sz w:val="16"/>
          <w:szCs w:val="16"/>
          <w:lang w:val="vi-VN"/>
        </w:rPr>
      </w:pPr>
      <w:r w:rsidRPr="009D3831">
        <w:rPr>
          <w:rStyle w:val="FootnoteReference"/>
          <w:rFonts w:ascii="Times New Roman" w:hAnsi="Times New Roman" w:cs="Times New Roman"/>
          <w:sz w:val="16"/>
          <w:szCs w:val="16"/>
        </w:rPr>
        <w:footnoteRef/>
      </w:r>
      <w:r w:rsidRPr="009D3831">
        <w:rPr>
          <w:rFonts w:ascii="Times New Roman" w:hAnsi="Times New Roman" w:cs="Times New Roman"/>
          <w:sz w:val="16"/>
          <w:szCs w:val="16"/>
        </w:rPr>
        <w:t xml:space="preserve"> </w:t>
      </w:r>
      <w:r w:rsidR="00A9286E" w:rsidRPr="009D3831">
        <w:rPr>
          <w:rFonts w:ascii="Times New Roman" w:hAnsi="Times New Roman" w:cs="Times New Roman"/>
          <w:sz w:val="16"/>
          <w:szCs w:val="16"/>
        </w:rPr>
        <w:t>U.S. National Cancer Institute and World Health Organization. The Economics of Tobacco and Tobacco Control. National Cancer Institute Tobacco Control Monograph 21. NIH Publication No. 16-CA-8029A. Bethesda, MD: U.S. Department of Health and Human Services, National Institutes of Health, National Cancer Institute; and Geneva, CH: World Health Organization; 2016</w:t>
      </w:r>
    </w:p>
  </w:footnote>
  <w:footnote w:id="26">
    <w:p w14:paraId="6CDD4F9F" w14:textId="0D037773" w:rsidR="003B3EAF" w:rsidRPr="009D3831" w:rsidRDefault="003B3EAF" w:rsidP="003B3EAF">
      <w:pPr>
        <w:pStyle w:val="EndnoteText"/>
        <w:jc w:val="both"/>
        <w:rPr>
          <w:rFonts w:ascii="Times New Roman" w:hAnsi="Times New Roman" w:cs="Times New Roman"/>
          <w:sz w:val="16"/>
          <w:szCs w:val="16"/>
          <w:lang w:val="vi-VN"/>
        </w:rPr>
      </w:pPr>
      <w:r w:rsidRPr="009D3831">
        <w:rPr>
          <w:rStyle w:val="FootnoteReference"/>
          <w:rFonts w:ascii="Times New Roman" w:hAnsi="Times New Roman" w:cs="Times New Roman"/>
          <w:sz w:val="16"/>
          <w:szCs w:val="16"/>
        </w:rPr>
        <w:footnoteRef/>
      </w:r>
      <w:r w:rsidRPr="009D3831">
        <w:rPr>
          <w:rFonts w:ascii="Times New Roman" w:hAnsi="Times New Roman" w:cs="Times New Roman"/>
          <w:sz w:val="16"/>
          <w:szCs w:val="16"/>
        </w:rPr>
        <w:t xml:space="preserve"> </w:t>
      </w:r>
      <w:r w:rsidR="00A9286E" w:rsidRPr="009D3831">
        <w:rPr>
          <w:rFonts w:ascii="Times New Roman" w:hAnsi="Times New Roman" w:cs="Times New Roman"/>
          <w:sz w:val="16"/>
          <w:szCs w:val="16"/>
          <w:lang w:val="vi-VN"/>
        </w:rPr>
        <w:t>Adams, (2019), Qunghua Nian (2025), State of the evidence on economic impacts of smoke free policies in the tourism section: A narrative literature review, Tobacco Induced Diseases , https://www.tobaccoinduceddiseases.org/State-of-the-evidence-on-economic-impacts-of-smoke-free-policies-in-the-tourism-sector,211072,0,2.html</w:t>
      </w:r>
    </w:p>
  </w:footnote>
  <w:footnote w:id="27">
    <w:p w14:paraId="52597DDD" w14:textId="7428A900" w:rsidR="008C1249" w:rsidRPr="009D3831" w:rsidRDefault="008C1249" w:rsidP="008C1249">
      <w:pPr>
        <w:pStyle w:val="EndnoteText"/>
        <w:rPr>
          <w:rFonts w:ascii="Times New Roman" w:hAnsi="Times New Roman" w:cs="Times New Roman"/>
          <w:sz w:val="16"/>
          <w:szCs w:val="16"/>
          <w:lang w:val="vi-VN"/>
        </w:rPr>
      </w:pPr>
      <w:r w:rsidRPr="009D3831">
        <w:rPr>
          <w:rStyle w:val="FootnoteReference"/>
          <w:rFonts w:ascii="Times New Roman" w:hAnsi="Times New Roman" w:cs="Times New Roman"/>
          <w:sz w:val="16"/>
          <w:szCs w:val="16"/>
        </w:rPr>
        <w:footnoteRef/>
      </w:r>
      <w:r w:rsidRPr="009D3831">
        <w:rPr>
          <w:rFonts w:ascii="Times New Roman" w:hAnsi="Times New Roman" w:cs="Times New Roman"/>
          <w:sz w:val="16"/>
          <w:szCs w:val="16"/>
        </w:rPr>
        <w:t xml:space="preserve"> </w:t>
      </w:r>
      <w:r w:rsidR="00A9286E" w:rsidRPr="009D3831">
        <w:rPr>
          <w:rFonts w:ascii="Times New Roman" w:hAnsi="Times New Roman" w:cs="Times New Roman"/>
          <w:sz w:val="16"/>
          <w:szCs w:val="16"/>
        </w:rPr>
        <w:t>World</w:t>
      </w:r>
      <w:r w:rsidR="00A9286E" w:rsidRPr="009D3831">
        <w:rPr>
          <w:rFonts w:ascii="Times New Roman" w:hAnsi="Times New Roman" w:cs="Times New Roman"/>
          <w:sz w:val="16"/>
          <w:szCs w:val="16"/>
          <w:lang w:val="vi-VN"/>
        </w:rPr>
        <w:t xml:space="preserve"> Health Organization ( 2025),</w:t>
      </w:r>
      <w:r w:rsidR="00A9286E" w:rsidRPr="009D3831">
        <w:rPr>
          <w:rFonts w:ascii="Times New Roman" w:hAnsi="Times New Roman" w:cs="Times New Roman"/>
          <w:sz w:val="16"/>
          <w:szCs w:val="16"/>
        </w:rPr>
        <w:t xml:space="preserve"> Report</w:t>
      </w:r>
      <w:r w:rsidR="00A9286E" w:rsidRPr="009D3831">
        <w:rPr>
          <w:rFonts w:ascii="Times New Roman" w:hAnsi="Times New Roman" w:cs="Times New Roman"/>
          <w:sz w:val="16"/>
          <w:szCs w:val="16"/>
          <w:lang w:val="vi-VN"/>
        </w:rPr>
        <w:t xml:space="preserve"> on the Global tobacco edidemic, Warning about the dangers of tobacco</w:t>
      </w:r>
    </w:p>
  </w:footnote>
  <w:footnote w:id="28">
    <w:p w14:paraId="2FE2E007" w14:textId="2A10051D" w:rsidR="008C1249" w:rsidRPr="009D3831" w:rsidRDefault="008C1249" w:rsidP="00A9286E">
      <w:pPr>
        <w:rPr>
          <w:sz w:val="16"/>
          <w:szCs w:val="16"/>
        </w:rPr>
      </w:pPr>
      <w:r w:rsidRPr="009D3831">
        <w:rPr>
          <w:rStyle w:val="FootnoteReference"/>
          <w:sz w:val="16"/>
          <w:szCs w:val="16"/>
        </w:rPr>
        <w:footnoteRef/>
      </w:r>
      <w:r w:rsidRPr="009D3831">
        <w:rPr>
          <w:sz w:val="16"/>
          <w:szCs w:val="16"/>
        </w:rPr>
        <w:t xml:space="preserve"> </w:t>
      </w:r>
      <w:r w:rsidR="00A9286E" w:rsidRPr="009D3831">
        <w:rPr>
          <w:sz w:val="16"/>
          <w:szCs w:val="16"/>
        </w:rPr>
        <w:t>Bộ</w:t>
      </w:r>
      <w:r w:rsidR="00A9286E" w:rsidRPr="009D3831">
        <w:rPr>
          <w:sz w:val="16"/>
          <w:szCs w:val="16"/>
          <w:lang w:val="vi-VN"/>
        </w:rPr>
        <w:t xml:space="preserve"> Y tế (2026), Báo cáo đánh giá tác động chính sách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1668745"/>
      <w:docPartObj>
        <w:docPartGallery w:val="Page Numbers (Top of Page)"/>
        <w:docPartUnique/>
      </w:docPartObj>
    </w:sdtPr>
    <w:sdtEndPr>
      <w:rPr>
        <w:noProof/>
      </w:rPr>
    </w:sdtEndPr>
    <w:sdtContent>
      <w:p w14:paraId="384CD7CF" w14:textId="53819651" w:rsidR="00C114F7" w:rsidRDefault="00C114F7">
        <w:pPr>
          <w:pStyle w:val="Header"/>
          <w:jc w:val="center"/>
        </w:pPr>
        <w:r>
          <w:fldChar w:fldCharType="begin"/>
        </w:r>
        <w:r>
          <w:instrText xml:space="preserve"> PAGE   \* MERGEFORMAT </w:instrText>
        </w:r>
        <w:r>
          <w:fldChar w:fldCharType="separate"/>
        </w:r>
        <w:r w:rsidR="00D17805">
          <w:rPr>
            <w:noProof/>
          </w:rPr>
          <w:t>8</w:t>
        </w:r>
        <w:r>
          <w:rPr>
            <w:noProof/>
          </w:rPr>
          <w:fldChar w:fldCharType="end"/>
        </w:r>
      </w:p>
    </w:sdtContent>
  </w:sdt>
  <w:p w14:paraId="7105B634" w14:textId="77777777" w:rsidR="00C114F7" w:rsidRDefault="00C114F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7962"/>
    <w:multiLevelType w:val="hybridMultilevel"/>
    <w:tmpl w:val="8A34711A"/>
    <w:lvl w:ilvl="0" w:tplc="8DEAE584">
      <w:start w:val="4"/>
      <w:numFmt w:val="bullet"/>
      <w:lvlText w:val="-"/>
      <w:lvlJc w:val="left"/>
      <w:pPr>
        <w:ind w:left="1070" w:hanging="360"/>
      </w:pPr>
      <w:rPr>
        <w:rFonts w:ascii="Times New Roman" w:eastAsia="Times New Roman" w:hAnsi="Times New Roman" w:cs="Times New Roman"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
    <w:nsid w:val="01717292"/>
    <w:multiLevelType w:val="hybridMultilevel"/>
    <w:tmpl w:val="53462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E259C0"/>
    <w:multiLevelType w:val="hybridMultilevel"/>
    <w:tmpl w:val="AD5C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0A4FA8"/>
    <w:multiLevelType w:val="hybridMultilevel"/>
    <w:tmpl w:val="34CCD3DA"/>
    <w:lvl w:ilvl="0" w:tplc="15BC2A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F12FF1"/>
    <w:multiLevelType w:val="hybridMultilevel"/>
    <w:tmpl w:val="E466ADBE"/>
    <w:lvl w:ilvl="0" w:tplc="B7ACCD2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AE47B3"/>
    <w:multiLevelType w:val="hybridMultilevel"/>
    <w:tmpl w:val="AA1C9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0837F5"/>
    <w:multiLevelType w:val="hybridMultilevel"/>
    <w:tmpl w:val="E2E03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1B041F"/>
    <w:multiLevelType w:val="hybridMultilevel"/>
    <w:tmpl w:val="B27A98A8"/>
    <w:lvl w:ilvl="0" w:tplc="FFFFFFFF">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BC4341"/>
    <w:multiLevelType w:val="multilevel"/>
    <w:tmpl w:val="A5368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C216735"/>
    <w:multiLevelType w:val="hybridMultilevel"/>
    <w:tmpl w:val="2F9A6F3C"/>
    <w:lvl w:ilvl="0" w:tplc="349CB582">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0301417"/>
    <w:multiLevelType w:val="hybridMultilevel"/>
    <w:tmpl w:val="F7D440F4"/>
    <w:lvl w:ilvl="0" w:tplc="2DFC653A">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CD4063"/>
    <w:multiLevelType w:val="hybridMultilevel"/>
    <w:tmpl w:val="F768F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B3E2D81"/>
    <w:multiLevelType w:val="multilevel"/>
    <w:tmpl w:val="F01E62A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CD948A6"/>
    <w:multiLevelType w:val="multilevel"/>
    <w:tmpl w:val="C7D49BA0"/>
    <w:lvl w:ilvl="0">
      <w:start w:val="1"/>
      <w:numFmt w:val="bullet"/>
      <w:lvlText w:val=""/>
      <w:lvlJc w:val="left"/>
      <w:pPr>
        <w:ind w:left="720" w:hanging="360"/>
      </w:pPr>
      <w:rPr>
        <w:rFonts w:ascii="Symbol" w:hAnsi="Symbol" w:hint="default"/>
        <w:sz w:val="20"/>
      </w:rPr>
    </w:lvl>
    <w:lvl w:ilvl="1">
      <w:start w:val="1"/>
      <w:numFmt w:val="decimal"/>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51492D"/>
    <w:multiLevelType w:val="hybridMultilevel"/>
    <w:tmpl w:val="C136E05C"/>
    <w:lvl w:ilvl="0" w:tplc="FFFFFFFF">
      <w:start w:val="1"/>
      <w:numFmt w:val="decimal"/>
      <w:lvlText w:val="%1."/>
      <w:lvlJc w:val="left"/>
      <w:pPr>
        <w:ind w:left="928"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F481FFF"/>
    <w:multiLevelType w:val="multilevel"/>
    <w:tmpl w:val="709CB1F2"/>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5F776F9"/>
    <w:multiLevelType w:val="hybridMultilevel"/>
    <w:tmpl w:val="1D72FBFC"/>
    <w:lvl w:ilvl="0" w:tplc="349CB582">
      <w:start w:val="1"/>
      <w:numFmt w:val="bullet"/>
      <w:lvlText w:val="-"/>
      <w:lvlJc w:val="left"/>
      <w:pPr>
        <w:ind w:left="2520" w:hanging="360"/>
      </w:pPr>
      <w:rPr>
        <w:rFonts w:ascii=".VnTime" w:eastAsia="Times New Roman" w:hAnsi=".VnTime"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nsid w:val="38A85229"/>
    <w:multiLevelType w:val="hybridMultilevel"/>
    <w:tmpl w:val="7D70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384664"/>
    <w:multiLevelType w:val="hybridMultilevel"/>
    <w:tmpl w:val="00029830"/>
    <w:lvl w:ilvl="0" w:tplc="CCD4632E">
      <w:start w:val="1"/>
      <w:numFmt w:val="decimal"/>
      <w:lvlText w:val="%1."/>
      <w:lvlJc w:val="left"/>
      <w:pPr>
        <w:ind w:left="928"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62361B"/>
    <w:multiLevelType w:val="multilevel"/>
    <w:tmpl w:val="B934862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2212114"/>
    <w:multiLevelType w:val="multilevel"/>
    <w:tmpl w:val="623618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24B7C35"/>
    <w:multiLevelType w:val="hybridMultilevel"/>
    <w:tmpl w:val="B83A3A8C"/>
    <w:lvl w:ilvl="0" w:tplc="15BC2A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D824DF"/>
    <w:multiLevelType w:val="hybridMultilevel"/>
    <w:tmpl w:val="C4AEC7B8"/>
    <w:lvl w:ilvl="0" w:tplc="BAC00728">
      <w:numFmt w:val="bullet"/>
      <w:lvlText w:val="-"/>
      <w:lvlJc w:val="left"/>
      <w:pPr>
        <w:ind w:left="720" w:hanging="360"/>
      </w:pPr>
      <w:rPr>
        <w:rFonts w:ascii="Calibri" w:eastAsia="Arial"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AB4FD7"/>
    <w:multiLevelType w:val="multilevel"/>
    <w:tmpl w:val="5F060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7E12C7"/>
    <w:multiLevelType w:val="multilevel"/>
    <w:tmpl w:val="F3AEE85E"/>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F6F1C16"/>
    <w:multiLevelType w:val="hybridMultilevel"/>
    <w:tmpl w:val="5F244012"/>
    <w:lvl w:ilvl="0" w:tplc="B7ACCD2A">
      <w:start w:val="3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1E201B7"/>
    <w:multiLevelType w:val="hybridMultilevel"/>
    <w:tmpl w:val="FFFFFFFF"/>
    <w:lvl w:ilvl="0" w:tplc="21D2DDAC">
      <w:start w:val="1"/>
      <w:numFmt w:val="bullet"/>
      <w:lvlText w:val=""/>
      <w:lvlJc w:val="left"/>
      <w:pPr>
        <w:ind w:left="720" w:hanging="360"/>
      </w:pPr>
      <w:rPr>
        <w:rFonts w:ascii="Symbol" w:hAnsi="Symbol" w:hint="default"/>
        <w:u w:val="none"/>
      </w:rPr>
    </w:lvl>
    <w:lvl w:ilvl="1" w:tplc="88A8F904">
      <w:start w:val="1"/>
      <w:numFmt w:val="bullet"/>
      <w:lvlText w:val="o"/>
      <w:lvlJc w:val="left"/>
      <w:pPr>
        <w:ind w:left="1440" w:hanging="360"/>
      </w:pPr>
      <w:rPr>
        <w:rFonts w:ascii="Symbol" w:hAnsi="Symbol" w:hint="default"/>
        <w:u w:val="none"/>
      </w:rPr>
    </w:lvl>
    <w:lvl w:ilvl="2" w:tplc="BA6A2C56">
      <w:start w:val="1"/>
      <w:numFmt w:val="bullet"/>
      <w:lvlText w:val="■"/>
      <w:lvlJc w:val="left"/>
      <w:pPr>
        <w:ind w:left="2160" w:hanging="360"/>
      </w:pPr>
      <w:rPr>
        <w:u w:val="none"/>
      </w:rPr>
    </w:lvl>
    <w:lvl w:ilvl="3" w:tplc="383CBFBC">
      <w:start w:val="1"/>
      <w:numFmt w:val="bullet"/>
      <w:lvlText w:val="●"/>
      <w:lvlJc w:val="left"/>
      <w:pPr>
        <w:ind w:left="2880" w:hanging="360"/>
      </w:pPr>
      <w:rPr>
        <w:u w:val="none"/>
      </w:rPr>
    </w:lvl>
    <w:lvl w:ilvl="4" w:tplc="00FCFCFA">
      <w:start w:val="1"/>
      <w:numFmt w:val="bullet"/>
      <w:lvlText w:val="○"/>
      <w:lvlJc w:val="left"/>
      <w:pPr>
        <w:ind w:left="3600" w:hanging="360"/>
      </w:pPr>
      <w:rPr>
        <w:u w:val="none"/>
      </w:rPr>
    </w:lvl>
    <w:lvl w:ilvl="5" w:tplc="BEEA8C5E">
      <w:start w:val="1"/>
      <w:numFmt w:val="bullet"/>
      <w:lvlText w:val="■"/>
      <w:lvlJc w:val="left"/>
      <w:pPr>
        <w:ind w:left="4320" w:hanging="360"/>
      </w:pPr>
      <w:rPr>
        <w:u w:val="none"/>
      </w:rPr>
    </w:lvl>
    <w:lvl w:ilvl="6" w:tplc="66B6C966">
      <w:start w:val="1"/>
      <w:numFmt w:val="bullet"/>
      <w:lvlText w:val="●"/>
      <w:lvlJc w:val="left"/>
      <w:pPr>
        <w:ind w:left="5040" w:hanging="360"/>
      </w:pPr>
      <w:rPr>
        <w:u w:val="none"/>
      </w:rPr>
    </w:lvl>
    <w:lvl w:ilvl="7" w:tplc="F5FEC816">
      <w:start w:val="1"/>
      <w:numFmt w:val="bullet"/>
      <w:lvlText w:val="○"/>
      <w:lvlJc w:val="left"/>
      <w:pPr>
        <w:ind w:left="5760" w:hanging="360"/>
      </w:pPr>
      <w:rPr>
        <w:u w:val="none"/>
      </w:rPr>
    </w:lvl>
    <w:lvl w:ilvl="8" w:tplc="A5F42EF4">
      <w:start w:val="1"/>
      <w:numFmt w:val="bullet"/>
      <w:lvlText w:val="■"/>
      <w:lvlJc w:val="left"/>
      <w:pPr>
        <w:ind w:left="6480" w:hanging="360"/>
      </w:pPr>
      <w:rPr>
        <w:u w:val="none"/>
      </w:rPr>
    </w:lvl>
  </w:abstractNum>
  <w:abstractNum w:abstractNumId="27">
    <w:nsid w:val="55101D56"/>
    <w:multiLevelType w:val="multilevel"/>
    <w:tmpl w:val="49B2A1A4"/>
    <w:lvl w:ilvl="0">
      <w:start w:val="11"/>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7385850"/>
    <w:multiLevelType w:val="hybridMultilevel"/>
    <w:tmpl w:val="855A73E4"/>
    <w:lvl w:ilvl="0" w:tplc="15BC2A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8A336E4"/>
    <w:multiLevelType w:val="multilevel"/>
    <w:tmpl w:val="E9482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9560C1E"/>
    <w:multiLevelType w:val="hybridMultilevel"/>
    <w:tmpl w:val="F36C0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9FB2FCC"/>
    <w:multiLevelType w:val="hybridMultilevel"/>
    <w:tmpl w:val="E8C0C2F8"/>
    <w:lvl w:ilvl="0" w:tplc="349CB582">
      <w:start w:val="1"/>
      <w:numFmt w:val="bullet"/>
      <w:lvlText w:val="-"/>
      <w:lvlJc w:val="left"/>
      <w:pPr>
        <w:ind w:left="720" w:hanging="360"/>
      </w:pPr>
      <w:rPr>
        <w:rFonts w:ascii=".VnTime" w:eastAsia="Times New Roman" w:hAnsi=".VnTime" w:cs="Times New Roman" w:hint="default"/>
      </w:rPr>
    </w:lvl>
    <w:lvl w:ilvl="1" w:tplc="EEA6F9B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B562CC4"/>
    <w:multiLevelType w:val="hybridMultilevel"/>
    <w:tmpl w:val="EA36B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D14160C"/>
    <w:multiLevelType w:val="hybridMultilevel"/>
    <w:tmpl w:val="6666D30E"/>
    <w:lvl w:ilvl="0" w:tplc="2DFC653A">
      <w:start w:val="11"/>
      <w:numFmt w:val="bullet"/>
      <w:lvlText w:val="-"/>
      <w:lvlJc w:val="left"/>
      <w:pPr>
        <w:ind w:left="720" w:hanging="360"/>
      </w:pPr>
      <w:rPr>
        <w:rFonts w:ascii="Times New Roman" w:eastAsia="Times New Roman" w:hAnsi="Times New Roman" w:cs="Times New Roman" w:hint="default"/>
      </w:rPr>
    </w:lvl>
    <w:lvl w:ilvl="1" w:tplc="EEA6F9B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F2C6E6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608231B5"/>
    <w:multiLevelType w:val="hybridMultilevel"/>
    <w:tmpl w:val="C4127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1AA4F37"/>
    <w:multiLevelType w:val="hybridMultilevel"/>
    <w:tmpl w:val="24D4286E"/>
    <w:lvl w:ilvl="0" w:tplc="864A58DA">
      <w:start w:val="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4A24AB"/>
    <w:multiLevelType w:val="hybridMultilevel"/>
    <w:tmpl w:val="DFEA9856"/>
    <w:lvl w:ilvl="0" w:tplc="B7ACCD2A">
      <w:start w:val="3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5243CD7"/>
    <w:multiLevelType w:val="hybridMultilevel"/>
    <w:tmpl w:val="97ECD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8E2BEE"/>
    <w:multiLevelType w:val="multilevel"/>
    <w:tmpl w:val="01C05F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9200DF8"/>
    <w:multiLevelType w:val="hybridMultilevel"/>
    <w:tmpl w:val="03481F1C"/>
    <w:lvl w:ilvl="0" w:tplc="BAAE347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9F172DF"/>
    <w:multiLevelType w:val="hybridMultilevel"/>
    <w:tmpl w:val="47A4C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4C5216"/>
    <w:multiLevelType w:val="hybridMultilevel"/>
    <w:tmpl w:val="B582F1D4"/>
    <w:lvl w:ilvl="0" w:tplc="15BC2AA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FC6174F"/>
    <w:multiLevelType w:val="hybridMultilevel"/>
    <w:tmpl w:val="83A6144E"/>
    <w:lvl w:ilvl="0" w:tplc="2DFC653A">
      <w:start w:val="11"/>
      <w:numFmt w:val="bullet"/>
      <w:lvlText w:val="-"/>
      <w:lvlJc w:val="left"/>
      <w:pPr>
        <w:ind w:left="720" w:hanging="360"/>
      </w:pPr>
      <w:rPr>
        <w:rFonts w:ascii="Times New Roman" w:eastAsia="Times New Roman" w:hAnsi="Times New Roman" w:cs="Times New Roman" w:hint="default"/>
      </w:rPr>
    </w:lvl>
    <w:lvl w:ilvl="1" w:tplc="EEA6F9B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8"/>
  </w:num>
  <w:num w:numId="3">
    <w:abstractNumId w:val="16"/>
  </w:num>
  <w:num w:numId="4">
    <w:abstractNumId w:val="31"/>
  </w:num>
  <w:num w:numId="5">
    <w:abstractNumId w:val="32"/>
  </w:num>
  <w:num w:numId="6">
    <w:abstractNumId w:val="3"/>
  </w:num>
  <w:num w:numId="7">
    <w:abstractNumId w:val="21"/>
  </w:num>
  <w:num w:numId="8">
    <w:abstractNumId w:val="9"/>
  </w:num>
  <w:num w:numId="9">
    <w:abstractNumId w:val="25"/>
  </w:num>
  <w:num w:numId="10">
    <w:abstractNumId w:val="4"/>
  </w:num>
  <w:num w:numId="11">
    <w:abstractNumId w:val="37"/>
  </w:num>
  <w:num w:numId="12">
    <w:abstractNumId w:val="28"/>
  </w:num>
  <w:num w:numId="13">
    <w:abstractNumId w:val="40"/>
  </w:num>
  <w:num w:numId="14">
    <w:abstractNumId w:val="0"/>
  </w:num>
  <w:num w:numId="15">
    <w:abstractNumId w:val="17"/>
  </w:num>
  <w:num w:numId="16">
    <w:abstractNumId w:val="6"/>
  </w:num>
  <w:num w:numId="17">
    <w:abstractNumId w:val="26"/>
  </w:num>
  <w:num w:numId="18">
    <w:abstractNumId w:val="34"/>
  </w:num>
  <w:num w:numId="19">
    <w:abstractNumId w:val="22"/>
  </w:num>
  <w:num w:numId="20">
    <w:abstractNumId w:val="41"/>
  </w:num>
  <w:num w:numId="21">
    <w:abstractNumId w:val="5"/>
  </w:num>
  <w:num w:numId="22">
    <w:abstractNumId w:val="2"/>
  </w:num>
  <w:num w:numId="23">
    <w:abstractNumId w:val="35"/>
  </w:num>
  <w:num w:numId="24">
    <w:abstractNumId w:val="30"/>
  </w:num>
  <w:num w:numId="25">
    <w:abstractNumId w:val="38"/>
  </w:num>
  <w:num w:numId="26">
    <w:abstractNumId w:val="1"/>
  </w:num>
  <w:num w:numId="27">
    <w:abstractNumId w:val="7"/>
  </w:num>
  <w:num w:numId="28">
    <w:abstractNumId w:val="36"/>
  </w:num>
  <w:num w:numId="29">
    <w:abstractNumId w:val="14"/>
  </w:num>
  <w:num w:numId="30">
    <w:abstractNumId w:val="29"/>
  </w:num>
  <w:num w:numId="31">
    <w:abstractNumId w:val="19"/>
  </w:num>
  <w:num w:numId="32">
    <w:abstractNumId w:val="12"/>
  </w:num>
  <w:num w:numId="33">
    <w:abstractNumId w:val="20"/>
  </w:num>
  <w:num w:numId="34">
    <w:abstractNumId w:val="11"/>
  </w:num>
  <w:num w:numId="35">
    <w:abstractNumId w:val="39"/>
  </w:num>
  <w:num w:numId="36">
    <w:abstractNumId w:val="8"/>
  </w:num>
  <w:num w:numId="37">
    <w:abstractNumId w:val="42"/>
  </w:num>
  <w:num w:numId="38">
    <w:abstractNumId w:val="23"/>
  </w:num>
  <w:num w:numId="39">
    <w:abstractNumId w:val="27"/>
  </w:num>
  <w:num w:numId="40">
    <w:abstractNumId w:val="43"/>
  </w:num>
  <w:num w:numId="41">
    <w:abstractNumId w:val="33"/>
  </w:num>
  <w:num w:numId="42">
    <w:abstractNumId w:val="10"/>
  </w:num>
  <w:num w:numId="43">
    <w:abstractNumId w:val="13"/>
  </w:num>
  <w:num w:numId="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558"/>
    <w:rsid w:val="00002F1B"/>
    <w:rsid w:val="00005F3D"/>
    <w:rsid w:val="00015771"/>
    <w:rsid w:val="000200C5"/>
    <w:rsid w:val="00023E4A"/>
    <w:rsid w:val="0003018E"/>
    <w:rsid w:val="000348D0"/>
    <w:rsid w:val="00034AA0"/>
    <w:rsid w:val="00042558"/>
    <w:rsid w:val="00051739"/>
    <w:rsid w:val="0006001D"/>
    <w:rsid w:val="00074E75"/>
    <w:rsid w:val="000762A6"/>
    <w:rsid w:val="00080BFA"/>
    <w:rsid w:val="00081EBA"/>
    <w:rsid w:val="0009257C"/>
    <w:rsid w:val="0009296C"/>
    <w:rsid w:val="000955F3"/>
    <w:rsid w:val="000967FE"/>
    <w:rsid w:val="00096A8C"/>
    <w:rsid w:val="000A0213"/>
    <w:rsid w:val="000B248F"/>
    <w:rsid w:val="000C0128"/>
    <w:rsid w:val="000C5139"/>
    <w:rsid w:val="000C74A6"/>
    <w:rsid w:val="000D3A78"/>
    <w:rsid w:val="000D4CBA"/>
    <w:rsid w:val="000D7EB9"/>
    <w:rsid w:val="000E6081"/>
    <w:rsid w:val="000F495D"/>
    <w:rsid w:val="0012598C"/>
    <w:rsid w:val="00131AE4"/>
    <w:rsid w:val="00131E02"/>
    <w:rsid w:val="00132E7C"/>
    <w:rsid w:val="00134CB6"/>
    <w:rsid w:val="00145200"/>
    <w:rsid w:val="0015413E"/>
    <w:rsid w:val="001565FB"/>
    <w:rsid w:val="00164FA1"/>
    <w:rsid w:val="001656D7"/>
    <w:rsid w:val="001700AA"/>
    <w:rsid w:val="00170ACB"/>
    <w:rsid w:val="00174F8D"/>
    <w:rsid w:val="0017539C"/>
    <w:rsid w:val="00184235"/>
    <w:rsid w:val="00187FD1"/>
    <w:rsid w:val="00192265"/>
    <w:rsid w:val="001933F8"/>
    <w:rsid w:val="0019642F"/>
    <w:rsid w:val="001A099B"/>
    <w:rsid w:val="001A2282"/>
    <w:rsid w:val="001A25B3"/>
    <w:rsid w:val="001A3D61"/>
    <w:rsid w:val="001B19B9"/>
    <w:rsid w:val="001B19D2"/>
    <w:rsid w:val="001B22B3"/>
    <w:rsid w:val="001B6135"/>
    <w:rsid w:val="001C0155"/>
    <w:rsid w:val="001C429D"/>
    <w:rsid w:val="001D29A9"/>
    <w:rsid w:val="001E49C6"/>
    <w:rsid w:val="001E68DB"/>
    <w:rsid w:val="001F53AA"/>
    <w:rsid w:val="002022A1"/>
    <w:rsid w:val="002041CD"/>
    <w:rsid w:val="002043E8"/>
    <w:rsid w:val="00204812"/>
    <w:rsid w:val="0020510F"/>
    <w:rsid w:val="002248E8"/>
    <w:rsid w:val="00227C75"/>
    <w:rsid w:val="002331F3"/>
    <w:rsid w:val="002355FC"/>
    <w:rsid w:val="00235BC8"/>
    <w:rsid w:val="00245A23"/>
    <w:rsid w:val="002537E9"/>
    <w:rsid w:val="0025410E"/>
    <w:rsid w:val="00272638"/>
    <w:rsid w:val="002755C8"/>
    <w:rsid w:val="00280F55"/>
    <w:rsid w:val="00296C34"/>
    <w:rsid w:val="002A6847"/>
    <w:rsid w:val="002B05C2"/>
    <w:rsid w:val="002B1395"/>
    <w:rsid w:val="002C3910"/>
    <w:rsid w:val="002D21F9"/>
    <w:rsid w:val="002F2EE2"/>
    <w:rsid w:val="002F7270"/>
    <w:rsid w:val="00301C20"/>
    <w:rsid w:val="00307BA1"/>
    <w:rsid w:val="003213C1"/>
    <w:rsid w:val="00331195"/>
    <w:rsid w:val="00331E3D"/>
    <w:rsid w:val="00373875"/>
    <w:rsid w:val="00384A63"/>
    <w:rsid w:val="00387FCE"/>
    <w:rsid w:val="003B3EAF"/>
    <w:rsid w:val="003C06F3"/>
    <w:rsid w:val="003C135E"/>
    <w:rsid w:val="003C533D"/>
    <w:rsid w:val="003C6BF4"/>
    <w:rsid w:val="003E7770"/>
    <w:rsid w:val="003F1A53"/>
    <w:rsid w:val="003F3358"/>
    <w:rsid w:val="00401F1E"/>
    <w:rsid w:val="004170C0"/>
    <w:rsid w:val="004224E3"/>
    <w:rsid w:val="00422FCC"/>
    <w:rsid w:val="00424BB4"/>
    <w:rsid w:val="00426E67"/>
    <w:rsid w:val="00431208"/>
    <w:rsid w:val="004354E8"/>
    <w:rsid w:val="004453A9"/>
    <w:rsid w:val="00455582"/>
    <w:rsid w:val="00481A7B"/>
    <w:rsid w:val="004823E0"/>
    <w:rsid w:val="0049134C"/>
    <w:rsid w:val="0049285F"/>
    <w:rsid w:val="004A7602"/>
    <w:rsid w:val="004A7711"/>
    <w:rsid w:val="004A773B"/>
    <w:rsid w:val="004B3E95"/>
    <w:rsid w:val="004C1573"/>
    <w:rsid w:val="004C1F5E"/>
    <w:rsid w:val="004C3D7B"/>
    <w:rsid w:val="004D3874"/>
    <w:rsid w:val="004D7462"/>
    <w:rsid w:val="004E752D"/>
    <w:rsid w:val="00511AFF"/>
    <w:rsid w:val="00527AE6"/>
    <w:rsid w:val="00536F6E"/>
    <w:rsid w:val="00537DF1"/>
    <w:rsid w:val="00545B74"/>
    <w:rsid w:val="0055178E"/>
    <w:rsid w:val="00555A47"/>
    <w:rsid w:val="0055753B"/>
    <w:rsid w:val="00557633"/>
    <w:rsid w:val="00564123"/>
    <w:rsid w:val="005644FC"/>
    <w:rsid w:val="00565DDA"/>
    <w:rsid w:val="00573F1B"/>
    <w:rsid w:val="0057423C"/>
    <w:rsid w:val="00576EDA"/>
    <w:rsid w:val="00582571"/>
    <w:rsid w:val="00585FA9"/>
    <w:rsid w:val="00587071"/>
    <w:rsid w:val="00593526"/>
    <w:rsid w:val="005A3483"/>
    <w:rsid w:val="005A4652"/>
    <w:rsid w:val="005A49F8"/>
    <w:rsid w:val="005B2849"/>
    <w:rsid w:val="005B4BB1"/>
    <w:rsid w:val="005B5329"/>
    <w:rsid w:val="005B5ACC"/>
    <w:rsid w:val="005B7556"/>
    <w:rsid w:val="005C122B"/>
    <w:rsid w:val="005C2737"/>
    <w:rsid w:val="005C5702"/>
    <w:rsid w:val="005E1100"/>
    <w:rsid w:val="005F73F6"/>
    <w:rsid w:val="00612DF9"/>
    <w:rsid w:val="00616CD1"/>
    <w:rsid w:val="0062103D"/>
    <w:rsid w:val="00623268"/>
    <w:rsid w:val="0062627C"/>
    <w:rsid w:val="00627C48"/>
    <w:rsid w:val="0063190C"/>
    <w:rsid w:val="00633502"/>
    <w:rsid w:val="00644DB4"/>
    <w:rsid w:val="00657883"/>
    <w:rsid w:val="00661412"/>
    <w:rsid w:val="0066481D"/>
    <w:rsid w:val="0068510C"/>
    <w:rsid w:val="00694046"/>
    <w:rsid w:val="0069430A"/>
    <w:rsid w:val="00696362"/>
    <w:rsid w:val="006B7D6F"/>
    <w:rsid w:val="006D54AD"/>
    <w:rsid w:val="006E0719"/>
    <w:rsid w:val="006E0D2C"/>
    <w:rsid w:val="006E245F"/>
    <w:rsid w:val="006E2941"/>
    <w:rsid w:val="006E2FC2"/>
    <w:rsid w:val="006E3D65"/>
    <w:rsid w:val="006E5734"/>
    <w:rsid w:val="006E75D7"/>
    <w:rsid w:val="006F3C2E"/>
    <w:rsid w:val="006F4DDB"/>
    <w:rsid w:val="007054CD"/>
    <w:rsid w:val="007067B5"/>
    <w:rsid w:val="00707F4A"/>
    <w:rsid w:val="007105A4"/>
    <w:rsid w:val="0071157E"/>
    <w:rsid w:val="007115ED"/>
    <w:rsid w:val="00717A4D"/>
    <w:rsid w:val="00721AB6"/>
    <w:rsid w:val="007253A7"/>
    <w:rsid w:val="0072648F"/>
    <w:rsid w:val="007272DE"/>
    <w:rsid w:val="007336A5"/>
    <w:rsid w:val="00733C57"/>
    <w:rsid w:val="00736FA7"/>
    <w:rsid w:val="00747DC2"/>
    <w:rsid w:val="0075151A"/>
    <w:rsid w:val="007528F6"/>
    <w:rsid w:val="00754911"/>
    <w:rsid w:val="00756F8F"/>
    <w:rsid w:val="00760FB3"/>
    <w:rsid w:val="00763676"/>
    <w:rsid w:val="00773BEA"/>
    <w:rsid w:val="0078490B"/>
    <w:rsid w:val="007903A1"/>
    <w:rsid w:val="0079072B"/>
    <w:rsid w:val="0079482D"/>
    <w:rsid w:val="007A6CE1"/>
    <w:rsid w:val="007B0A32"/>
    <w:rsid w:val="007B0AC0"/>
    <w:rsid w:val="007B1CB8"/>
    <w:rsid w:val="007C122A"/>
    <w:rsid w:val="007C33AE"/>
    <w:rsid w:val="007D6466"/>
    <w:rsid w:val="007D77FE"/>
    <w:rsid w:val="007D79FD"/>
    <w:rsid w:val="007E29BC"/>
    <w:rsid w:val="007E2C7A"/>
    <w:rsid w:val="008048E4"/>
    <w:rsid w:val="008218DC"/>
    <w:rsid w:val="00832D88"/>
    <w:rsid w:val="00834FDE"/>
    <w:rsid w:val="00842E2C"/>
    <w:rsid w:val="00847745"/>
    <w:rsid w:val="00857518"/>
    <w:rsid w:val="00857984"/>
    <w:rsid w:val="00864537"/>
    <w:rsid w:val="00864721"/>
    <w:rsid w:val="00875785"/>
    <w:rsid w:val="00891ECD"/>
    <w:rsid w:val="008A4D32"/>
    <w:rsid w:val="008B3495"/>
    <w:rsid w:val="008B5D1B"/>
    <w:rsid w:val="008B6015"/>
    <w:rsid w:val="008C1249"/>
    <w:rsid w:val="008C7B9F"/>
    <w:rsid w:val="008D0DD8"/>
    <w:rsid w:val="008D15D5"/>
    <w:rsid w:val="008E258E"/>
    <w:rsid w:val="008F2BDD"/>
    <w:rsid w:val="00902061"/>
    <w:rsid w:val="0090325E"/>
    <w:rsid w:val="00914135"/>
    <w:rsid w:val="00922B33"/>
    <w:rsid w:val="00925944"/>
    <w:rsid w:val="00932F9D"/>
    <w:rsid w:val="00935EC4"/>
    <w:rsid w:val="0093683A"/>
    <w:rsid w:val="00941515"/>
    <w:rsid w:val="00954FAF"/>
    <w:rsid w:val="00956D06"/>
    <w:rsid w:val="00956E49"/>
    <w:rsid w:val="00965F1A"/>
    <w:rsid w:val="00973176"/>
    <w:rsid w:val="00974458"/>
    <w:rsid w:val="009808AA"/>
    <w:rsid w:val="00991BAA"/>
    <w:rsid w:val="009A2521"/>
    <w:rsid w:val="009B3202"/>
    <w:rsid w:val="009B41CF"/>
    <w:rsid w:val="009B4F1A"/>
    <w:rsid w:val="009B7907"/>
    <w:rsid w:val="009C0833"/>
    <w:rsid w:val="009D3831"/>
    <w:rsid w:val="009D4C6F"/>
    <w:rsid w:val="009F6F62"/>
    <w:rsid w:val="00A012E9"/>
    <w:rsid w:val="00A14ACC"/>
    <w:rsid w:val="00A14EF5"/>
    <w:rsid w:val="00A25B9E"/>
    <w:rsid w:val="00A25DB3"/>
    <w:rsid w:val="00A26697"/>
    <w:rsid w:val="00A30E55"/>
    <w:rsid w:val="00A36582"/>
    <w:rsid w:val="00A60136"/>
    <w:rsid w:val="00A612D6"/>
    <w:rsid w:val="00A65CD4"/>
    <w:rsid w:val="00A67E8C"/>
    <w:rsid w:val="00A74853"/>
    <w:rsid w:val="00A816E1"/>
    <w:rsid w:val="00A81C12"/>
    <w:rsid w:val="00A841BA"/>
    <w:rsid w:val="00A9286E"/>
    <w:rsid w:val="00A97679"/>
    <w:rsid w:val="00A97A4B"/>
    <w:rsid w:val="00AA2DC1"/>
    <w:rsid w:val="00AC187F"/>
    <w:rsid w:val="00AD1284"/>
    <w:rsid w:val="00AD7586"/>
    <w:rsid w:val="00AD79F0"/>
    <w:rsid w:val="00AD7A53"/>
    <w:rsid w:val="00AE582E"/>
    <w:rsid w:val="00AE595D"/>
    <w:rsid w:val="00AF09D5"/>
    <w:rsid w:val="00B01CD2"/>
    <w:rsid w:val="00B03AE7"/>
    <w:rsid w:val="00B20465"/>
    <w:rsid w:val="00B21F4C"/>
    <w:rsid w:val="00B220F0"/>
    <w:rsid w:val="00B25941"/>
    <w:rsid w:val="00B25BD9"/>
    <w:rsid w:val="00B25E8E"/>
    <w:rsid w:val="00B306C4"/>
    <w:rsid w:val="00B41E1E"/>
    <w:rsid w:val="00B50945"/>
    <w:rsid w:val="00B5257D"/>
    <w:rsid w:val="00B52899"/>
    <w:rsid w:val="00B55344"/>
    <w:rsid w:val="00B640EA"/>
    <w:rsid w:val="00B66C37"/>
    <w:rsid w:val="00B71239"/>
    <w:rsid w:val="00B7225D"/>
    <w:rsid w:val="00B76178"/>
    <w:rsid w:val="00B83B70"/>
    <w:rsid w:val="00B907C0"/>
    <w:rsid w:val="00B910F4"/>
    <w:rsid w:val="00B9149B"/>
    <w:rsid w:val="00BA4DD4"/>
    <w:rsid w:val="00BB47EE"/>
    <w:rsid w:val="00BE0558"/>
    <w:rsid w:val="00BE28F7"/>
    <w:rsid w:val="00BE672A"/>
    <w:rsid w:val="00BF403B"/>
    <w:rsid w:val="00BF7A8C"/>
    <w:rsid w:val="00C012FB"/>
    <w:rsid w:val="00C05CD4"/>
    <w:rsid w:val="00C114F7"/>
    <w:rsid w:val="00C12BB1"/>
    <w:rsid w:val="00C12E1E"/>
    <w:rsid w:val="00C1366D"/>
    <w:rsid w:val="00C13FEE"/>
    <w:rsid w:val="00C143C5"/>
    <w:rsid w:val="00C15A07"/>
    <w:rsid w:val="00C16A2E"/>
    <w:rsid w:val="00C26799"/>
    <w:rsid w:val="00C26A41"/>
    <w:rsid w:val="00C30A15"/>
    <w:rsid w:val="00C4687E"/>
    <w:rsid w:val="00C52392"/>
    <w:rsid w:val="00C524BE"/>
    <w:rsid w:val="00C62AB6"/>
    <w:rsid w:val="00C64A14"/>
    <w:rsid w:val="00C70949"/>
    <w:rsid w:val="00C77D5B"/>
    <w:rsid w:val="00C866B9"/>
    <w:rsid w:val="00C9343E"/>
    <w:rsid w:val="00C974AB"/>
    <w:rsid w:val="00CA2AA8"/>
    <w:rsid w:val="00CA4205"/>
    <w:rsid w:val="00CA5D93"/>
    <w:rsid w:val="00CD47EC"/>
    <w:rsid w:val="00CE2A07"/>
    <w:rsid w:val="00CE5698"/>
    <w:rsid w:val="00CE6689"/>
    <w:rsid w:val="00CF2911"/>
    <w:rsid w:val="00D05471"/>
    <w:rsid w:val="00D112B8"/>
    <w:rsid w:val="00D13850"/>
    <w:rsid w:val="00D17805"/>
    <w:rsid w:val="00D45923"/>
    <w:rsid w:val="00D527DC"/>
    <w:rsid w:val="00D56E26"/>
    <w:rsid w:val="00D6061F"/>
    <w:rsid w:val="00D841A3"/>
    <w:rsid w:val="00D908B9"/>
    <w:rsid w:val="00D942E4"/>
    <w:rsid w:val="00D94D1A"/>
    <w:rsid w:val="00DA17F1"/>
    <w:rsid w:val="00DB109D"/>
    <w:rsid w:val="00DB6E61"/>
    <w:rsid w:val="00DB737B"/>
    <w:rsid w:val="00DC2583"/>
    <w:rsid w:val="00DD3DB5"/>
    <w:rsid w:val="00DE1A68"/>
    <w:rsid w:val="00DE20CC"/>
    <w:rsid w:val="00DF319E"/>
    <w:rsid w:val="00DF402B"/>
    <w:rsid w:val="00DF45BB"/>
    <w:rsid w:val="00DF4CE5"/>
    <w:rsid w:val="00DF71BD"/>
    <w:rsid w:val="00E03388"/>
    <w:rsid w:val="00E13CB2"/>
    <w:rsid w:val="00E14E12"/>
    <w:rsid w:val="00E321E2"/>
    <w:rsid w:val="00E3339C"/>
    <w:rsid w:val="00E35F4C"/>
    <w:rsid w:val="00E436A2"/>
    <w:rsid w:val="00E55C9A"/>
    <w:rsid w:val="00E7217F"/>
    <w:rsid w:val="00E819DC"/>
    <w:rsid w:val="00E87E23"/>
    <w:rsid w:val="00E9484F"/>
    <w:rsid w:val="00E96CC3"/>
    <w:rsid w:val="00EA0F9C"/>
    <w:rsid w:val="00EA1B45"/>
    <w:rsid w:val="00EA2180"/>
    <w:rsid w:val="00EA3490"/>
    <w:rsid w:val="00EC1B1D"/>
    <w:rsid w:val="00EC2676"/>
    <w:rsid w:val="00EC500C"/>
    <w:rsid w:val="00ED398A"/>
    <w:rsid w:val="00EF2A6A"/>
    <w:rsid w:val="00EF3E7E"/>
    <w:rsid w:val="00EF6496"/>
    <w:rsid w:val="00EF71CC"/>
    <w:rsid w:val="00EF7BA0"/>
    <w:rsid w:val="00F00131"/>
    <w:rsid w:val="00F0498E"/>
    <w:rsid w:val="00F05541"/>
    <w:rsid w:val="00F217DF"/>
    <w:rsid w:val="00F30C35"/>
    <w:rsid w:val="00F32D3F"/>
    <w:rsid w:val="00F41909"/>
    <w:rsid w:val="00F4426B"/>
    <w:rsid w:val="00F52D93"/>
    <w:rsid w:val="00F56788"/>
    <w:rsid w:val="00F56C2D"/>
    <w:rsid w:val="00F637A3"/>
    <w:rsid w:val="00F6639D"/>
    <w:rsid w:val="00F6644A"/>
    <w:rsid w:val="00F76A1B"/>
    <w:rsid w:val="00F775D0"/>
    <w:rsid w:val="00F83391"/>
    <w:rsid w:val="00F861CD"/>
    <w:rsid w:val="00F9247B"/>
    <w:rsid w:val="00FA3DFC"/>
    <w:rsid w:val="00FA4D4A"/>
    <w:rsid w:val="00FB201B"/>
    <w:rsid w:val="00FB5661"/>
    <w:rsid w:val="00FC6556"/>
    <w:rsid w:val="00FD0C78"/>
    <w:rsid w:val="00FE4DEE"/>
    <w:rsid w:val="00FE701A"/>
    <w:rsid w:val="00FE7189"/>
    <w:rsid w:val="00FF1872"/>
    <w:rsid w:val="00FF6375"/>
    <w:rsid w:val="02A8ED90"/>
    <w:rsid w:val="2914DE3D"/>
    <w:rsid w:val="29B60E3C"/>
    <w:rsid w:val="383E3F08"/>
    <w:rsid w:val="5F5B8A60"/>
    <w:rsid w:val="702BE498"/>
    <w:rsid w:val="7BECA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2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C2737"/>
    <w:pPr>
      <w:keepNext/>
      <w:keepLines/>
      <w:spacing w:before="400" w:after="40"/>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1933F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C273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aragraph"/>
    <w:basedOn w:val="Normal"/>
    <w:link w:val="ListParagraphChar"/>
    <w:uiPriority w:val="34"/>
    <w:qFormat/>
    <w:rsid w:val="00042558"/>
    <w:pPr>
      <w:spacing w:after="200" w:line="276" w:lineRule="auto"/>
      <w:ind w:left="720"/>
      <w:contextualSpacing/>
    </w:pPr>
    <w:rPr>
      <w:sz w:val="22"/>
      <w:szCs w:val="22"/>
      <w:lang w:val="vi"/>
    </w:rPr>
  </w:style>
  <w:style w:type="paragraph" w:styleId="FootnoteText">
    <w:name w:val="footnote text"/>
    <w:aliases w:val="Footnote Text Char Char Char Char Char,Footnote Text Char Char Char Char Char Char Ch,Footnote Text Char1 Char1,Footnote Text Char Char Char1,Footnote Text Char1 Char Char,Footnote Text Char Char Char Char Char Char Ch Char Char Char,ft,f"/>
    <w:basedOn w:val="Normal"/>
    <w:link w:val="FootnoteTextChar"/>
    <w:unhideWhenUsed/>
    <w:qFormat/>
    <w:rsid w:val="00042558"/>
    <w:rPr>
      <w:sz w:val="20"/>
      <w:szCs w:val="20"/>
    </w:rPr>
  </w:style>
  <w:style w:type="character" w:customStyle="1" w:styleId="FootnoteTextChar">
    <w:name w:val="Footnote Text Char"/>
    <w:aliases w:val="Footnote Text Char Char Char Char Char Char,Footnote Text Char Char Char Char Char Char Ch Char,Footnote Text Char1 Char1 Char,Footnote Text Char Char Char1 Char,Footnote Text Char1 Char Char Char,ft Char,f Char"/>
    <w:basedOn w:val="DefaultParagraphFont"/>
    <w:link w:val="FootnoteText"/>
    <w:qFormat/>
    <w:rsid w:val="00042558"/>
    <w:rPr>
      <w:rFonts w:ascii="Calibri" w:eastAsia="Calibri" w:hAnsi="Calibri" w:cs="Calibri"/>
      <w:sz w:val="20"/>
      <w:szCs w:val="20"/>
      <w:lang w:val="vi-VN"/>
    </w:rPr>
  </w:style>
  <w:style w:type="character" w:styleId="FootnoteReference">
    <w:name w:val="footnote reference"/>
    <w:aliases w:val="Footnote text,Footnote,ftref,Footnote + Arial,10 pt,Black,(NECG) Footnote Reference,16 Point,Superscript 6 Point,Footnote symbol,Voetnootverwijzing,Odwołanie przypisu,footnote ref,FR,Fußnotenzeichen diss neu,Times 10 Point,Ref,fr,4_,R"/>
    <w:basedOn w:val="DefaultParagraphFont"/>
    <w:link w:val="BVIfnrCharCharChar"/>
    <w:unhideWhenUsed/>
    <w:qFormat/>
    <w:rsid w:val="00042558"/>
    <w:rPr>
      <w:vertAlign w:val="superscript"/>
    </w:rPr>
  </w:style>
  <w:style w:type="character" w:styleId="Hyperlink">
    <w:name w:val="Hyperlink"/>
    <w:basedOn w:val="DefaultParagraphFont"/>
    <w:uiPriority w:val="99"/>
    <w:unhideWhenUsed/>
    <w:rsid w:val="00042558"/>
    <w:rPr>
      <w:color w:val="0563C1" w:themeColor="hyperlink"/>
      <w:u w:val="single"/>
    </w:rPr>
  </w:style>
  <w:style w:type="paragraph" w:customStyle="1" w:styleId="Normal1">
    <w:name w:val="Normal1"/>
    <w:link w:val="Normal1Char"/>
    <w:rsid w:val="00042558"/>
    <w:pPr>
      <w:spacing w:after="0" w:line="240" w:lineRule="auto"/>
    </w:pPr>
    <w:rPr>
      <w:rFonts w:ascii="Times New Roman" w:eastAsia="Times New Roman" w:hAnsi="Times New Roman" w:cs="Times New Roman"/>
      <w:sz w:val="28"/>
      <w:szCs w:val="28"/>
      <w:lang w:val="pt-BR"/>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4_G Char Char Char"/>
    <w:basedOn w:val="Normal"/>
    <w:link w:val="FootnoteReference"/>
    <w:uiPriority w:val="99"/>
    <w:qFormat/>
    <w:rsid w:val="00042558"/>
    <w:pPr>
      <w:spacing w:after="160" w:line="240" w:lineRule="exact"/>
    </w:pPr>
    <w:rPr>
      <w:rFonts w:asciiTheme="minorHAnsi" w:eastAsiaTheme="minorHAnsi" w:hAnsiTheme="minorHAnsi" w:cstheme="minorBidi"/>
      <w:sz w:val="22"/>
      <w:szCs w:val="22"/>
      <w:vertAlign w:val="superscript"/>
    </w:rPr>
  </w:style>
  <w:style w:type="character" w:customStyle="1" w:styleId="Normal1Char">
    <w:name w:val="Normal1 Char"/>
    <w:basedOn w:val="DefaultParagraphFont"/>
    <w:link w:val="Normal1"/>
    <w:rsid w:val="00042558"/>
    <w:rPr>
      <w:rFonts w:ascii="Times New Roman" w:eastAsia="Times New Roman" w:hAnsi="Times New Roman" w:cs="Times New Roman"/>
      <w:sz w:val="28"/>
      <w:szCs w:val="28"/>
      <w:lang w:val="pt-BR"/>
    </w:rPr>
  </w:style>
  <w:style w:type="character" w:customStyle="1" w:styleId="fontstyle01">
    <w:name w:val="fontstyle01"/>
    <w:rsid w:val="00B21F4C"/>
    <w:rPr>
      <w:rFonts w:ascii="TimesNewRomanPSMT" w:hAnsi="TimesNewRomanPSMT" w:hint="default"/>
      <w:b w:val="0"/>
      <w:bCs w:val="0"/>
      <w:i w:val="0"/>
      <w:iCs w:val="0"/>
      <w:color w:val="000000"/>
      <w:sz w:val="28"/>
      <w:szCs w:val="28"/>
    </w:rPr>
  </w:style>
  <w:style w:type="paragraph" w:styleId="EndnoteText">
    <w:name w:val="endnote text"/>
    <w:basedOn w:val="Normal"/>
    <w:link w:val="EndnoteTextChar"/>
    <w:uiPriority w:val="99"/>
    <w:unhideWhenUsed/>
    <w:rsid w:val="00FD0C78"/>
    <w:rPr>
      <w:rFonts w:ascii="Aptos" w:eastAsiaTheme="minorHAnsi" w:hAnsi="Aptos" w:cstheme="minorBidi"/>
      <w:sz w:val="20"/>
      <w:szCs w:val="20"/>
    </w:rPr>
  </w:style>
  <w:style w:type="character" w:customStyle="1" w:styleId="EndnoteTextChar">
    <w:name w:val="Endnote Text Char"/>
    <w:basedOn w:val="DefaultParagraphFont"/>
    <w:link w:val="EndnoteText"/>
    <w:uiPriority w:val="99"/>
    <w:rsid w:val="00FD0C78"/>
    <w:rPr>
      <w:rFonts w:ascii="Aptos" w:hAnsi="Aptos"/>
      <w:sz w:val="20"/>
      <w:szCs w:val="20"/>
    </w:rPr>
  </w:style>
  <w:style w:type="character" w:styleId="EndnoteReference">
    <w:name w:val="endnote reference"/>
    <w:basedOn w:val="DefaultParagraphFont"/>
    <w:uiPriority w:val="99"/>
    <w:unhideWhenUsed/>
    <w:rsid w:val="00FD0C78"/>
    <w:rPr>
      <w:vertAlign w:val="superscript"/>
    </w:rPr>
  </w:style>
  <w:style w:type="paragraph" w:customStyle="1" w:styleId="FootnoteReferenceCharChar1CharCharCharCharChar">
    <w:name w:val="Footnote Reference Char Char1 Char Char Char Char Char"/>
    <w:aliases w:val="Footnote Reference Char Char Char Char Char Char Char Char Char Char,Car Char Car Char Car Char Char Char1 Char Char Char Char Char Char Char Char Char"/>
    <w:basedOn w:val="Normal"/>
    <w:qFormat/>
    <w:rsid w:val="00FB201B"/>
    <w:pPr>
      <w:autoSpaceDE w:val="0"/>
      <w:autoSpaceDN w:val="0"/>
      <w:spacing w:after="160" w:line="240" w:lineRule="exact"/>
      <w:jc w:val="both"/>
    </w:pPr>
    <w:rPr>
      <w:rFonts w:asciiTheme="minorHAnsi" w:eastAsiaTheme="minorHAnsi" w:hAnsiTheme="minorHAnsi" w:cstheme="minorBidi"/>
      <w:sz w:val="22"/>
      <w:szCs w:val="22"/>
      <w:vertAlign w:val="superscript"/>
    </w:rPr>
  </w:style>
  <w:style w:type="character" w:customStyle="1" w:styleId="meta-citation">
    <w:name w:val="meta-citation"/>
    <w:basedOn w:val="DefaultParagraphFont"/>
    <w:rsid w:val="009808AA"/>
  </w:style>
  <w:style w:type="character" w:styleId="CommentReference">
    <w:name w:val="annotation reference"/>
    <w:basedOn w:val="DefaultParagraphFont"/>
    <w:uiPriority w:val="99"/>
    <w:semiHidden/>
    <w:unhideWhenUsed/>
    <w:rsid w:val="007105A4"/>
    <w:rPr>
      <w:sz w:val="16"/>
      <w:szCs w:val="16"/>
    </w:rPr>
  </w:style>
  <w:style w:type="paragraph" w:styleId="CommentText">
    <w:name w:val="annotation text"/>
    <w:basedOn w:val="Normal"/>
    <w:link w:val="CommentTextChar"/>
    <w:uiPriority w:val="99"/>
    <w:semiHidden/>
    <w:unhideWhenUsed/>
    <w:rsid w:val="007105A4"/>
    <w:rPr>
      <w:sz w:val="20"/>
      <w:szCs w:val="20"/>
    </w:rPr>
  </w:style>
  <w:style w:type="character" w:customStyle="1" w:styleId="CommentTextChar">
    <w:name w:val="Comment Text Char"/>
    <w:basedOn w:val="DefaultParagraphFont"/>
    <w:link w:val="CommentText"/>
    <w:uiPriority w:val="99"/>
    <w:semiHidden/>
    <w:rsid w:val="007105A4"/>
    <w:rPr>
      <w:rFonts w:ascii="Calibri" w:eastAsia="Calibri" w:hAnsi="Calibri" w:cs="Calibri"/>
      <w:sz w:val="20"/>
      <w:szCs w:val="20"/>
      <w:lang w:val="vi-VN"/>
    </w:rPr>
  </w:style>
  <w:style w:type="paragraph" w:styleId="CommentSubject">
    <w:name w:val="annotation subject"/>
    <w:basedOn w:val="CommentText"/>
    <w:next w:val="CommentText"/>
    <w:link w:val="CommentSubjectChar"/>
    <w:uiPriority w:val="99"/>
    <w:semiHidden/>
    <w:unhideWhenUsed/>
    <w:rsid w:val="007105A4"/>
    <w:rPr>
      <w:b/>
      <w:bCs/>
    </w:rPr>
  </w:style>
  <w:style w:type="character" w:customStyle="1" w:styleId="CommentSubjectChar">
    <w:name w:val="Comment Subject Char"/>
    <w:basedOn w:val="CommentTextChar"/>
    <w:link w:val="CommentSubject"/>
    <w:uiPriority w:val="99"/>
    <w:semiHidden/>
    <w:rsid w:val="007105A4"/>
    <w:rPr>
      <w:rFonts w:ascii="Calibri" w:eastAsia="Calibri" w:hAnsi="Calibri" w:cs="Calibri"/>
      <w:b/>
      <w:bCs/>
      <w:sz w:val="20"/>
      <w:szCs w:val="20"/>
      <w:lang w:val="vi-VN"/>
    </w:rPr>
  </w:style>
  <w:style w:type="paragraph" w:styleId="Revision">
    <w:name w:val="Revision"/>
    <w:hidden/>
    <w:uiPriority w:val="99"/>
    <w:semiHidden/>
    <w:rsid w:val="007105A4"/>
    <w:pPr>
      <w:spacing w:after="0" w:line="240" w:lineRule="auto"/>
    </w:pPr>
    <w:rPr>
      <w:rFonts w:ascii="Calibri" w:eastAsia="Calibri" w:hAnsi="Calibri" w:cs="Calibri"/>
      <w:sz w:val="24"/>
      <w:szCs w:val="24"/>
      <w:lang w:val="vi-VN"/>
    </w:rPr>
  </w:style>
  <w:style w:type="paragraph" w:styleId="BalloonText">
    <w:name w:val="Balloon Text"/>
    <w:basedOn w:val="Normal"/>
    <w:link w:val="BalloonTextChar"/>
    <w:uiPriority w:val="99"/>
    <w:semiHidden/>
    <w:unhideWhenUsed/>
    <w:rsid w:val="00EF3E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E7E"/>
    <w:rPr>
      <w:rFonts w:ascii="Segoe UI" w:eastAsia="Calibri" w:hAnsi="Segoe UI" w:cs="Segoe UI"/>
      <w:sz w:val="18"/>
      <w:szCs w:val="18"/>
      <w:lang w:val="vi-VN"/>
    </w:rPr>
  </w:style>
  <w:style w:type="character" w:customStyle="1" w:styleId="Heading1Char">
    <w:name w:val="Heading 1 Char"/>
    <w:basedOn w:val="DefaultParagraphFont"/>
    <w:link w:val="Heading1"/>
    <w:uiPriority w:val="9"/>
    <w:rsid w:val="005C2737"/>
    <w:rPr>
      <w:rFonts w:asciiTheme="majorHAnsi" w:eastAsiaTheme="majorEastAsia" w:hAnsiTheme="majorHAnsi" w:cstheme="majorBidi"/>
      <w:color w:val="1F4E79" w:themeColor="accent1" w:themeShade="80"/>
      <w:sz w:val="36"/>
      <w:szCs w:val="36"/>
    </w:rPr>
  </w:style>
  <w:style w:type="character" w:customStyle="1" w:styleId="Heading3Char">
    <w:name w:val="Heading 3 Char"/>
    <w:basedOn w:val="DefaultParagraphFont"/>
    <w:link w:val="Heading3"/>
    <w:uiPriority w:val="9"/>
    <w:rsid w:val="005C2737"/>
    <w:rPr>
      <w:rFonts w:asciiTheme="majorHAnsi" w:eastAsiaTheme="majorEastAsia" w:hAnsiTheme="majorHAnsi" w:cstheme="majorBidi"/>
      <w:color w:val="1F4D78" w:themeColor="accent1" w:themeShade="7F"/>
      <w:sz w:val="24"/>
      <w:szCs w:val="24"/>
      <w:lang w:val="vi-VN"/>
    </w:rPr>
  </w:style>
  <w:style w:type="character" w:customStyle="1" w:styleId="Heading2Char">
    <w:name w:val="Heading 2 Char"/>
    <w:basedOn w:val="DefaultParagraphFont"/>
    <w:link w:val="Heading2"/>
    <w:uiPriority w:val="9"/>
    <w:rsid w:val="001933F8"/>
    <w:rPr>
      <w:rFonts w:asciiTheme="majorHAnsi" w:eastAsiaTheme="majorEastAsia" w:hAnsiTheme="majorHAnsi" w:cstheme="majorBidi"/>
      <w:color w:val="2E74B5" w:themeColor="accent1" w:themeShade="BF"/>
      <w:sz w:val="26"/>
      <w:szCs w:val="26"/>
      <w:lang w:val="vi-VN"/>
    </w:rPr>
  </w:style>
  <w:style w:type="paragraph" w:styleId="NormalWeb">
    <w:name w:val="Normal (Web)"/>
    <w:basedOn w:val="Normal"/>
    <w:link w:val="NormalWebChar"/>
    <w:uiPriority w:val="99"/>
    <w:unhideWhenUsed/>
    <w:qFormat/>
    <w:rsid w:val="00A25DB3"/>
    <w:pPr>
      <w:spacing w:before="100" w:beforeAutospacing="1" w:after="100" w:afterAutospacing="1"/>
    </w:pPr>
  </w:style>
  <w:style w:type="character" w:customStyle="1" w:styleId="NormalWebChar">
    <w:name w:val="Normal (Web) Char"/>
    <w:link w:val="NormalWeb"/>
    <w:uiPriority w:val="99"/>
    <w:qFormat/>
    <w:locked/>
    <w:rsid w:val="00A25DB3"/>
    <w:rPr>
      <w:rFonts w:ascii="Times New Roman" w:eastAsia="Times New Roman" w:hAnsi="Times New Roman" w:cs="Times New Roman"/>
      <w:sz w:val="24"/>
      <w:szCs w:val="24"/>
    </w:rPr>
  </w:style>
  <w:style w:type="character" w:styleId="Strong">
    <w:name w:val="Strong"/>
    <w:uiPriority w:val="22"/>
    <w:qFormat/>
    <w:rsid w:val="00A25DB3"/>
    <w:rPr>
      <w:b/>
      <w:bCs/>
    </w:rPr>
  </w:style>
  <w:style w:type="character" w:customStyle="1" w:styleId="normaltextrun">
    <w:name w:val="normaltextrun"/>
    <w:basedOn w:val="DefaultParagraphFont"/>
    <w:rsid w:val="006E5734"/>
  </w:style>
  <w:style w:type="paragraph" w:styleId="Footer">
    <w:name w:val="footer"/>
    <w:basedOn w:val="Normal"/>
    <w:link w:val="FooterChar"/>
    <w:uiPriority w:val="99"/>
    <w:unhideWhenUsed/>
    <w:rsid w:val="00721AB6"/>
    <w:pPr>
      <w:tabs>
        <w:tab w:val="center" w:pos="4680"/>
        <w:tab w:val="right" w:pos="9360"/>
      </w:tabs>
    </w:pPr>
  </w:style>
  <w:style w:type="character" w:customStyle="1" w:styleId="FooterChar">
    <w:name w:val="Footer Char"/>
    <w:basedOn w:val="DefaultParagraphFont"/>
    <w:link w:val="Footer"/>
    <w:uiPriority w:val="99"/>
    <w:rsid w:val="00721AB6"/>
    <w:rPr>
      <w:rFonts w:ascii="Calibri" w:eastAsia="Calibri" w:hAnsi="Calibri" w:cs="Calibri"/>
      <w:sz w:val="24"/>
      <w:szCs w:val="24"/>
      <w:lang w:val="vi-VN"/>
    </w:rPr>
  </w:style>
  <w:style w:type="character" w:styleId="PageNumber">
    <w:name w:val="page number"/>
    <w:basedOn w:val="DefaultParagraphFont"/>
    <w:uiPriority w:val="99"/>
    <w:semiHidden/>
    <w:unhideWhenUsed/>
    <w:rsid w:val="00721AB6"/>
  </w:style>
  <w:style w:type="character" w:customStyle="1" w:styleId="math-inline">
    <w:name w:val="math-inline"/>
    <w:basedOn w:val="DefaultParagraphFont"/>
    <w:rsid w:val="007253A7"/>
  </w:style>
  <w:style w:type="paragraph" w:styleId="Header">
    <w:name w:val="header"/>
    <w:basedOn w:val="Normal"/>
    <w:link w:val="HeaderChar"/>
    <w:uiPriority w:val="99"/>
    <w:unhideWhenUsed/>
    <w:rsid w:val="002B05C2"/>
    <w:pPr>
      <w:tabs>
        <w:tab w:val="center" w:pos="4680"/>
        <w:tab w:val="right" w:pos="9360"/>
      </w:tabs>
    </w:pPr>
  </w:style>
  <w:style w:type="character" w:customStyle="1" w:styleId="HeaderChar">
    <w:name w:val="Header Char"/>
    <w:basedOn w:val="DefaultParagraphFont"/>
    <w:link w:val="Header"/>
    <w:uiPriority w:val="99"/>
    <w:rsid w:val="002B05C2"/>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4D3874"/>
    <w:rPr>
      <w:color w:val="605E5C"/>
      <w:shd w:val="clear" w:color="auto" w:fill="E1DFDD"/>
    </w:rPr>
  </w:style>
  <w:style w:type="paragraph" w:customStyle="1" w:styleId="16PointChar">
    <w:name w:val="16 Point Char"/>
    <w:aliases w:val="BVI fnr Char,Footnote Text1 Char,Footnote text Char"/>
    <w:basedOn w:val="Normal"/>
    <w:uiPriority w:val="99"/>
    <w:qFormat/>
    <w:rsid w:val="008B3495"/>
    <w:pPr>
      <w:spacing w:after="160" w:line="240" w:lineRule="exact"/>
    </w:pPr>
    <w:rPr>
      <w:rFonts w:asciiTheme="minorHAnsi" w:eastAsiaTheme="minorHAnsi" w:hAnsiTheme="minorHAnsi" w:cstheme="minorBidi"/>
      <w:sz w:val="22"/>
      <w:szCs w:val="22"/>
      <w:vertAlign w:val="superscript"/>
    </w:rPr>
  </w:style>
  <w:style w:type="character" w:customStyle="1" w:styleId="FootnoteCharacters">
    <w:name w:val="Footnote Characters"/>
    <w:uiPriority w:val="99"/>
    <w:qFormat/>
    <w:rsid w:val="008B3495"/>
    <w:rPr>
      <w:vertAlign w:val="superscript"/>
    </w:rPr>
  </w:style>
  <w:style w:type="character" w:customStyle="1" w:styleId="ListParagraphChar">
    <w:name w:val="List Paragraph Char"/>
    <w:aliases w:val="Bullet Paragraph Char"/>
    <w:basedOn w:val="DefaultParagraphFont"/>
    <w:link w:val="ListParagraph"/>
    <w:uiPriority w:val="34"/>
    <w:qFormat/>
    <w:rsid w:val="008B3495"/>
    <w:rPr>
      <w:rFonts w:ascii="Times New Roman" w:eastAsia="Times New Roman" w:hAnsi="Times New Roman" w:cs="Times New Roman"/>
      <w:lang w:val="vi"/>
    </w:rPr>
  </w:style>
  <w:style w:type="paragraph" w:customStyle="1" w:styleId="BearingPoint">
    <w:name w:val="BearingPoint"/>
    <w:aliases w:val="Footnote Text Char Char Char Char Char Char Ch Char Char Char Char Char Char C"/>
    <w:basedOn w:val="Normal"/>
    <w:rsid w:val="008D0DD8"/>
    <w:pPr>
      <w:spacing w:after="160" w:line="240" w:lineRule="exact"/>
    </w:pPr>
    <w:rPr>
      <w:rFonts w:ascii="Calibri" w:eastAsia="Calibri" w:hAnsi="Calibri"/>
      <w:sz w:val="20"/>
      <w:szCs w:val="20"/>
      <w:vertAlign w:val="superscript"/>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C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C2737"/>
    <w:pPr>
      <w:keepNext/>
      <w:keepLines/>
      <w:spacing w:before="400" w:after="40"/>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unhideWhenUsed/>
    <w:qFormat/>
    <w:rsid w:val="001933F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C273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aragraph"/>
    <w:basedOn w:val="Normal"/>
    <w:link w:val="ListParagraphChar"/>
    <w:uiPriority w:val="34"/>
    <w:qFormat/>
    <w:rsid w:val="00042558"/>
    <w:pPr>
      <w:spacing w:after="200" w:line="276" w:lineRule="auto"/>
      <w:ind w:left="720"/>
      <w:contextualSpacing/>
    </w:pPr>
    <w:rPr>
      <w:sz w:val="22"/>
      <w:szCs w:val="22"/>
      <w:lang w:val="vi"/>
    </w:rPr>
  </w:style>
  <w:style w:type="paragraph" w:styleId="FootnoteText">
    <w:name w:val="footnote text"/>
    <w:aliases w:val="Footnote Text Char Char Char Char Char,Footnote Text Char Char Char Char Char Char Ch,Footnote Text Char1 Char1,Footnote Text Char Char Char1,Footnote Text Char1 Char Char,Footnote Text Char Char Char Char Char Char Ch Char Char Char,ft,f"/>
    <w:basedOn w:val="Normal"/>
    <w:link w:val="FootnoteTextChar"/>
    <w:unhideWhenUsed/>
    <w:qFormat/>
    <w:rsid w:val="00042558"/>
    <w:rPr>
      <w:sz w:val="20"/>
      <w:szCs w:val="20"/>
    </w:rPr>
  </w:style>
  <w:style w:type="character" w:customStyle="1" w:styleId="FootnoteTextChar">
    <w:name w:val="Footnote Text Char"/>
    <w:aliases w:val="Footnote Text Char Char Char Char Char Char,Footnote Text Char Char Char Char Char Char Ch Char,Footnote Text Char1 Char1 Char,Footnote Text Char Char Char1 Char,Footnote Text Char1 Char Char Char,ft Char,f Char"/>
    <w:basedOn w:val="DefaultParagraphFont"/>
    <w:link w:val="FootnoteText"/>
    <w:qFormat/>
    <w:rsid w:val="00042558"/>
    <w:rPr>
      <w:rFonts w:ascii="Calibri" w:eastAsia="Calibri" w:hAnsi="Calibri" w:cs="Calibri"/>
      <w:sz w:val="20"/>
      <w:szCs w:val="20"/>
      <w:lang w:val="vi-VN"/>
    </w:rPr>
  </w:style>
  <w:style w:type="character" w:styleId="FootnoteReference">
    <w:name w:val="footnote reference"/>
    <w:aliases w:val="Footnote text,Footnote,ftref,Footnote + Arial,10 pt,Black,(NECG) Footnote Reference,16 Point,Superscript 6 Point,Footnote symbol,Voetnootverwijzing,Odwołanie przypisu,footnote ref,FR,Fußnotenzeichen diss neu,Times 10 Point,Ref,fr,4_,R"/>
    <w:basedOn w:val="DefaultParagraphFont"/>
    <w:link w:val="BVIfnrCharCharChar"/>
    <w:unhideWhenUsed/>
    <w:qFormat/>
    <w:rsid w:val="00042558"/>
    <w:rPr>
      <w:vertAlign w:val="superscript"/>
    </w:rPr>
  </w:style>
  <w:style w:type="character" w:styleId="Hyperlink">
    <w:name w:val="Hyperlink"/>
    <w:basedOn w:val="DefaultParagraphFont"/>
    <w:uiPriority w:val="99"/>
    <w:unhideWhenUsed/>
    <w:rsid w:val="00042558"/>
    <w:rPr>
      <w:color w:val="0563C1" w:themeColor="hyperlink"/>
      <w:u w:val="single"/>
    </w:rPr>
  </w:style>
  <w:style w:type="paragraph" w:customStyle="1" w:styleId="Normal1">
    <w:name w:val="Normal1"/>
    <w:link w:val="Normal1Char"/>
    <w:rsid w:val="00042558"/>
    <w:pPr>
      <w:spacing w:after="0" w:line="240" w:lineRule="auto"/>
    </w:pPr>
    <w:rPr>
      <w:rFonts w:ascii="Times New Roman" w:eastAsia="Times New Roman" w:hAnsi="Times New Roman" w:cs="Times New Roman"/>
      <w:sz w:val="28"/>
      <w:szCs w:val="28"/>
      <w:lang w:val="pt-BR"/>
    </w:rPr>
  </w:style>
  <w:style w:type="paragraph" w:customStyle="1" w:styleId="BVIfnrCharCharChar">
    <w:name w:val="BVI fnr Char Char Char"/>
    <w:aliases w:val="BVI fnr Car Car Char Char Char,BVI fnr Car Char Char Char,BVI fnr Car Car Car Car Char Char Char1,BVI fnr Car Car Car Car Char Char Char Char Char Char,BVI fnr Char1,BVI fnr Car Car Char1,BVI fnr Car Char1,ftre,4_G Char Char Char"/>
    <w:basedOn w:val="Normal"/>
    <w:link w:val="FootnoteReference"/>
    <w:uiPriority w:val="99"/>
    <w:qFormat/>
    <w:rsid w:val="00042558"/>
    <w:pPr>
      <w:spacing w:after="160" w:line="240" w:lineRule="exact"/>
    </w:pPr>
    <w:rPr>
      <w:rFonts w:asciiTheme="minorHAnsi" w:eastAsiaTheme="minorHAnsi" w:hAnsiTheme="minorHAnsi" w:cstheme="minorBidi"/>
      <w:sz w:val="22"/>
      <w:szCs w:val="22"/>
      <w:vertAlign w:val="superscript"/>
    </w:rPr>
  </w:style>
  <w:style w:type="character" w:customStyle="1" w:styleId="Normal1Char">
    <w:name w:val="Normal1 Char"/>
    <w:basedOn w:val="DefaultParagraphFont"/>
    <w:link w:val="Normal1"/>
    <w:rsid w:val="00042558"/>
    <w:rPr>
      <w:rFonts w:ascii="Times New Roman" w:eastAsia="Times New Roman" w:hAnsi="Times New Roman" w:cs="Times New Roman"/>
      <w:sz w:val="28"/>
      <w:szCs w:val="28"/>
      <w:lang w:val="pt-BR"/>
    </w:rPr>
  </w:style>
  <w:style w:type="character" w:customStyle="1" w:styleId="fontstyle01">
    <w:name w:val="fontstyle01"/>
    <w:rsid w:val="00B21F4C"/>
    <w:rPr>
      <w:rFonts w:ascii="TimesNewRomanPSMT" w:hAnsi="TimesNewRomanPSMT" w:hint="default"/>
      <w:b w:val="0"/>
      <w:bCs w:val="0"/>
      <w:i w:val="0"/>
      <w:iCs w:val="0"/>
      <w:color w:val="000000"/>
      <w:sz w:val="28"/>
      <w:szCs w:val="28"/>
    </w:rPr>
  </w:style>
  <w:style w:type="paragraph" w:styleId="EndnoteText">
    <w:name w:val="endnote text"/>
    <w:basedOn w:val="Normal"/>
    <w:link w:val="EndnoteTextChar"/>
    <w:uiPriority w:val="99"/>
    <w:unhideWhenUsed/>
    <w:rsid w:val="00FD0C78"/>
    <w:rPr>
      <w:rFonts w:ascii="Aptos" w:eastAsiaTheme="minorHAnsi" w:hAnsi="Aptos" w:cstheme="minorBidi"/>
      <w:sz w:val="20"/>
      <w:szCs w:val="20"/>
    </w:rPr>
  </w:style>
  <w:style w:type="character" w:customStyle="1" w:styleId="EndnoteTextChar">
    <w:name w:val="Endnote Text Char"/>
    <w:basedOn w:val="DefaultParagraphFont"/>
    <w:link w:val="EndnoteText"/>
    <w:uiPriority w:val="99"/>
    <w:rsid w:val="00FD0C78"/>
    <w:rPr>
      <w:rFonts w:ascii="Aptos" w:hAnsi="Aptos"/>
      <w:sz w:val="20"/>
      <w:szCs w:val="20"/>
    </w:rPr>
  </w:style>
  <w:style w:type="character" w:styleId="EndnoteReference">
    <w:name w:val="endnote reference"/>
    <w:basedOn w:val="DefaultParagraphFont"/>
    <w:uiPriority w:val="99"/>
    <w:unhideWhenUsed/>
    <w:rsid w:val="00FD0C78"/>
    <w:rPr>
      <w:vertAlign w:val="superscript"/>
    </w:rPr>
  </w:style>
  <w:style w:type="paragraph" w:customStyle="1" w:styleId="FootnoteReferenceCharChar1CharCharCharCharChar">
    <w:name w:val="Footnote Reference Char Char1 Char Char Char Char Char"/>
    <w:aliases w:val="Footnote Reference Char Char Char Char Char Char Char Char Char Char,Car Char Car Char Car Char Char Char1 Char Char Char Char Char Char Char Char Char"/>
    <w:basedOn w:val="Normal"/>
    <w:qFormat/>
    <w:rsid w:val="00FB201B"/>
    <w:pPr>
      <w:autoSpaceDE w:val="0"/>
      <w:autoSpaceDN w:val="0"/>
      <w:spacing w:after="160" w:line="240" w:lineRule="exact"/>
      <w:jc w:val="both"/>
    </w:pPr>
    <w:rPr>
      <w:rFonts w:asciiTheme="minorHAnsi" w:eastAsiaTheme="minorHAnsi" w:hAnsiTheme="minorHAnsi" w:cstheme="minorBidi"/>
      <w:sz w:val="22"/>
      <w:szCs w:val="22"/>
      <w:vertAlign w:val="superscript"/>
    </w:rPr>
  </w:style>
  <w:style w:type="character" w:customStyle="1" w:styleId="meta-citation">
    <w:name w:val="meta-citation"/>
    <w:basedOn w:val="DefaultParagraphFont"/>
    <w:rsid w:val="009808AA"/>
  </w:style>
  <w:style w:type="character" w:styleId="CommentReference">
    <w:name w:val="annotation reference"/>
    <w:basedOn w:val="DefaultParagraphFont"/>
    <w:uiPriority w:val="99"/>
    <w:semiHidden/>
    <w:unhideWhenUsed/>
    <w:rsid w:val="007105A4"/>
    <w:rPr>
      <w:sz w:val="16"/>
      <w:szCs w:val="16"/>
    </w:rPr>
  </w:style>
  <w:style w:type="paragraph" w:styleId="CommentText">
    <w:name w:val="annotation text"/>
    <w:basedOn w:val="Normal"/>
    <w:link w:val="CommentTextChar"/>
    <w:uiPriority w:val="99"/>
    <w:semiHidden/>
    <w:unhideWhenUsed/>
    <w:rsid w:val="007105A4"/>
    <w:rPr>
      <w:sz w:val="20"/>
      <w:szCs w:val="20"/>
    </w:rPr>
  </w:style>
  <w:style w:type="character" w:customStyle="1" w:styleId="CommentTextChar">
    <w:name w:val="Comment Text Char"/>
    <w:basedOn w:val="DefaultParagraphFont"/>
    <w:link w:val="CommentText"/>
    <w:uiPriority w:val="99"/>
    <w:semiHidden/>
    <w:rsid w:val="007105A4"/>
    <w:rPr>
      <w:rFonts w:ascii="Calibri" w:eastAsia="Calibri" w:hAnsi="Calibri" w:cs="Calibri"/>
      <w:sz w:val="20"/>
      <w:szCs w:val="20"/>
      <w:lang w:val="vi-VN"/>
    </w:rPr>
  </w:style>
  <w:style w:type="paragraph" w:styleId="CommentSubject">
    <w:name w:val="annotation subject"/>
    <w:basedOn w:val="CommentText"/>
    <w:next w:val="CommentText"/>
    <w:link w:val="CommentSubjectChar"/>
    <w:uiPriority w:val="99"/>
    <w:semiHidden/>
    <w:unhideWhenUsed/>
    <w:rsid w:val="007105A4"/>
    <w:rPr>
      <w:b/>
      <w:bCs/>
    </w:rPr>
  </w:style>
  <w:style w:type="character" w:customStyle="1" w:styleId="CommentSubjectChar">
    <w:name w:val="Comment Subject Char"/>
    <w:basedOn w:val="CommentTextChar"/>
    <w:link w:val="CommentSubject"/>
    <w:uiPriority w:val="99"/>
    <w:semiHidden/>
    <w:rsid w:val="007105A4"/>
    <w:rPr>
      <w:rFonts w:ascii="Calibri" w:eastAsia="Calibri" w:hAnsi="Calibri" w:cs="Calibri"/>
      <w:b/>
      <w:bCs/>
      <w:sz w:val="20"/>
      <w:szCs w:val="20"/>
      <w:lang w:val="vi-VN"/>
    </w:rPr>
  </w:style>
  <w:style w:type="paragraph" w:styleId="Revision">
    <w:name w:val="Revision"/>
    <w:hidden/>
    <w:uiPriority w:val="99"/>
    <w:semiHidden/>
    <w:rsid w:val="007105A4"/>
    <w:pPr>
      <w:spacing w:after="0" w:line="240" w:lineRule="auto"/>
    </w:pPr>
    <w:rPr>
      <w:rFonts w:ascii="Calibri" w:eastAsia="Calibri" w:hAnsi="Calibri" w:cs="Calibri"/>
      <w:sz w:val="24"/>
      <w:szCs w:val="24"/>
      <w:lang w:val="vi-VN"/>
    </w:rPr>
  </w:style>
  <w:style w:type="paragraph" w:styleId="BalloonText">
    <w:name w:val="Balloon Text"/>
    <w:basedOn w:val="Normal"/>
    <w:link w:val="BalloonTextChar"/>
    <w:uiPriority w:val="99"/>
    <w:semiHidden/>
    <w:unhideWhenUsed/>
    <w:rsid w:val="00EF3E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E7E"/>
    <w:rPr>
      <w:rFonts w:ascii="Segoe UI" w:eastAsia="Calibri" w:hAnsi="Segoe UI" w:cs="Segoe UI"/>
      <w:sz w:val="18"/>
      <w:szCs w:val="18"/>
      <w:lang w:val="vi-VN"/>
    </w:rPr>
  </w:style>
  <w:style w:type="character" w:customStyle="1" w:styleId="Heading1Char">
    <w:name w:val="Heading 1 Char"/>
    <w:basedOn w:val="DefaultParagraphFont"/>
    <w:link w:val="Heading1"/>
    <w:uiPriority w:val="9"/>
    <w:rsid w:val="005C2737"/>
    <w:rPr>
      <w:rFonts w:asciiTheme="majorHAnsi" w:eastAsiaTheme="majorEastAsia" w:hAnsiTheme="majorHAnsi" w:cstheme="majorBidi"/>
      <w:color w:val="1F4E79" w:themeColor="accent1" w:themeShade="80"/>
      <w:sz w:val="36"/>
      <w:szCs w:val="36"/>
    </w:rPr>
  </w:style>
  <w:style w:type="character" w:customStyle="1" w:styleId="Heading3Char">
    <w:name w:val="Heading 3 Char"/>
    <w:basedOn w:val="DefaultParagraphFont"/>
    <w:link w:val="Heading3"/>
    <w:uiPriority w:val="9"/>
    <w:rsid w:val="005C2737"/>
    <w:rPr>
      <w:rFonts w:asciiTheme="majorHAnsi" w:eastAsiaTheme="majorEastAsia" w:hAnsiTheme="majorHAnsi" w:cstheme="majorBidi"/>
      <w:color w:val="1F4D78" w:themeColor="accent1" w:themeShade="7F"/>
      <w:sz w:val="24"/>
      <w:szCs w:val="24"/>
      <w:lang w:val="vi-VN"/>
    </w:rPr>
  </w:style>
  <w:style w:type="character" w:customStyle="1" w:styleId="Heading2Char">
    <w:name w:val="Heading 2 Char"/>
    <w:basedOn w:val="DefaultParagraphFont"/>
    <w:link w:val="Heading2"/>
    <w:uiPriority w:val="9"/>
    <w:rsid w:val="001933F8"/>
    <w:rPr>
      <w:rFonts w:asciiTheme="majorHAnsi" w:eastAsiaTheme="majorEastAsia" w:hAnsiTheme="majorHAnsi" w:cstheme="majorBidi"/>
      <w:color w:val="2E74B5" w:themeColor="accent1" w:themeShade="BF"/>
      <w:sz w:val="26"/>
      <w:szCs w:val="26"/>
      <w:lang w:val="vi-VN"/>
    </w:rPr>
  </w:style>
  <w:style w:type="paragraph" w:styleId="NormalWeb">
    <w:name w:val="Normal (Web)"/>
    <w:basedOn w:val="Normal"/>
    <w:link w:val="NormalWebChar"/>
    <w:uiPriority w:val="99"/>
    <w:unhideWhenUsed/>
    <w:qFormat/>
    <w:rsid w:val="00A25DB3"/>
    <w:pPr>
      <w:spacing w:before="100" w:beforeAutospacing="1" w:after="100" w:afterAutospacing="1"/>
    </w:pPr>
  </w:style>
  <w:style w:type="character" w:customStyle="1" w:styleId="NormalWebChar">
    <w:name w:val="Normal (Web) Char"/>
    <w:link w:val="NormalWeb"/>
    <w:uiPriority w:val="99"/>
    <w:qFormat/>
    <w:locked/>
    <w:rsid w:val="00A25DB3"/>
    <w:rPr>
      <w:rFonts w:ascii="Times New Roman" w:eastAsia="Times New Roman" w:hAnsi="Times New Roman" w:cs="Times New Roman"/>
      <w:sz w:val="24"/>
      <w:szCs w:val="24"/>
    </w:rPr>
  </w:style>
  <w:style w:type="character" w:styleId="Strong">
    <w:name w:val="Strong"/>
    <w:uiPriority w:val="22"/>
    <w:qFormat/>
    <w:rsid w:val="00A25DB3"/>
    <w:rPr>
      <w:b/>
      <w:bCs/>
    </w:rPr>
  </w:style>
  <w:style w:type="character" w:customStyle="1" w:styleId="normaltextrun">
    <w:name w:val="normaltextrun"/>
    <w:basedOn w:val="DefaultParagraphFont"/>
    <w:rsid w:val="006E5734"/>
  </w:style>
  <w:style w:type="paragraph" w:styleId="Footer">
    <w:name w:val="footer"/>
    <w:basedOn w:val="Normal"/>
    <w:link w:val="FooterChar"/>
    <w:uiPriority w:val="99"/>
    <w:unhideWhenUsed/>
    <w:rsid w:val="00721AB6"/>
    <w:pPr>
      <w:tabs>
        <w:tab w:val="center" w:pos="4680"/>
        <w:tab w:val="right" w:pos="9360"/>
      </w:tabs>
    </w:pPr>
  </w:style>
  <w:style w:type="character" w:customStyle="1" w:styleId="FooterChar">
    <w:name w:val="Footer Char"/>
    <w:basedOn w:val="DefaultParagraphFont"/>
    <w:link w:val="Footer"/>
    <w:uiPriority w:val="99"/>
    <w:rsid w:val="00721AB6"/>
    <w:rPr>
      <w:rFonts w:ascii="Calibri" w:eastAsia="Calibri" w:hAnsi="Calibri" w:cs="Calibri"/>
      <w:sz w:val="24"/>
      <w:szCs w:val="24"/>
      <w:lang w:val="vi-VN"/>
    </w:rPr>
  </w:style>
  <w:style w:type="character" w:styleId="PageNumber">
    <w:name w:val="page number"/>
    <w:basedOn w:val="DefaultParagraphFont"/>
    <w:uiPriority w:val="99"/>
    <w:semiHidden/>
    <w:unhideWhenUsed/>
    <w:rsid w:val="00721AB6"/>
  </w:style>
  <w:style w:type="character" w:customStyle="1" w:styleId="math-inline">
    <w:name w:val="math-inline"/>
    <w:basedOn w:val="DefaultParagraphFont"/>
    <w:rsid w:val="007253A7"/>
  </w:style>
  <w:style w:type="paragraph" w:styleId="Header">
    <w:name w:val="header"/>
    <w:basedOn w:val="Normal"/>
    <w:link w:val="HeaderChar"/>
    <w:uiPriority w:val="99"/>
    <w:unhideWhenUsed/>
    <w:rsid w:val="002B05C2"/>
    <w:pPr>
      <w:tabs>
        <w:tab w:val="center" w:pos="4680"/>
        <w:tab w:val="right" w:pos="9360"/>
      </w:tabs>
    </w:pPr>
  </w:style>
  <w:style w:type="character" w:customStyle="1" w:styleId="HeaderChar">
    <w:name w:val="Header Char"/>
    <w:basedOn w:val="DefaultParagraphFont"/>
    <w:link w:val="Header"/>
    <w:uiPriority w:val="99"/>
    <w:rsid w:val="002B05C2"/>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4D3874"/>
    <w:rPr>
      <w:color w:val="605E5C"/>
      <w:shd w:val="clear" w:color="auto" w:fill="E1DFDD"/>
    </w:rPr>
  </w:style>
  <w:style w:type="paragraph" w:customStyle="1" w:styleId="16PointChar">
    <w:name w:val="16 Point Char"/>
    <w:aliases w:val="BVI fnr Char,Footnote Text1 Char,Footnote text Char"/>
    <w:basedOn w:val="Normal"/>
    <w:uiPriority w:val="99"/>
    <w:qFormat/>
    <w:rsid w:val="008B3495"/>
    <w:pPr>
      <w:spacing w:after="160" w:line="240" w:lineRule="exact"/>
    </w:pPr>
    <w:rPr>
      <w:rFonts w:asciiTheme="minorHAnsi" w:eastAsiaTheme="minorHAnsi" w:hAnsiTheme="minorHAnsi" w:cstheme="minorBidi"/>
      <w:sz w:val="22"/>
      <w:szCs w:val="22"/>
      <w:vertAlign w:val="superscript"/>
    </w:rPr>
  </w:style>
  <w:style w:type="character" w:customStyle="1" w:styleId="FootnoteCharacters">
    <w:name w:val="Footnote Characters"/>
    <w:uiPriority w:val="99"/>
    <w:qFormat/>
    <w:rsid w:val="008B3495"/>
    <w:rPr>
      <w:vertAlign w:val="superscript"/>
    </w:rPr>
  </w:style>
  <w:style w:type="character" w:customStyle="1" w:styleId="ListParagraphChar">
    <w:name w:val="List Paragraph Char"/>
    <w:aliases w:val="Bullet Paragraph Char"/>
    <w:basedOn w:val="DefaultParagraphFont"/>
    <w:link w:val="ListParagraph"/>
    <w:uiPriority w:val="34"/>
    <w:qFormat/>
    <w:rsid w:val="008B3495"/>
    <w:rPr>
      <w:rFonts w:ascii="Times New Roman" w:eastAsia="Times New Roman" w:hAnsi="Times New Roman" w:cs="Times New Roman"/>
      <w:lang w:val="vi"/>
    </w:rPr>
  </w:style>
  <w:style w:type="paragraph" w:customStyle="1" w:styleId="BearingPoint">
    <w:name w:val="BearingPoint"/>
    <w:aliases w:val="Footnote Text Char Char Char Char Char Char Ch Char Char Char Char Char Char C"/>
    <w:basedOn w:val="Normal"/>
    <w:rsid w:val="008D0DD8"/>
    <w:pPr>
      <w:spacing w:after="160" w:line="240" w:lineRule="exact"/>
    </w:pPr>
    <w:rPr>
      <w:rFonts w:ascii="Calibri" w:eastAsia="Calibri" w:hAnsi="Calibri"/>
      <w:sz w:val="20"/>
      <w:szCs w:val="20"/>
      <w:vertAlign w:val="superscript"/>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34148">
      <w:bodyDiv w:val="1"/>
      <w:marLeft w:val="0"/>
      <w:marRight w:val="0"/>
      <w:marTop w:val="0"/>
      <w:marBottom w:val="0"/>
      <w:divBdr>
        <w:top w:val="none" w:sz="0" w:space="0" w:color="auto"/>
        <w:left w:val="none" w:sz="0" w:space="0" w:color="auto"/>
        <w:bottom w:val="none" w:sz="0" w:space="0" w:color="auto"/>
        <w:right w:val="none" w:sz="0" w:space="0" w:color="auto"/>
      </w:divBdr>
    </w:div>
    <w:div w:id="778912053">
      <w:bodyDiv w:val="1"/>
      <w:marLeft w:val="0"/>
      <w:marRight w:val="0"/>
      <w:marTop w:val="0"/>
      <w:marBottom w:val="0"/>
      <w:divBdr>
        <w:top w:val="none" w:sz="0" w:space="0" w:color="auto"/>
        <w:left w:val="none" w:sz="0" w:space="0" w:color="auto"/>
        <w:bottom w:val="none" w:sz="0" w:space="0" w:color="auto"/>
        <w:right w:val="none" w:sz="0" w:space="0" w:color="auto"/>
      </w:divBdr>
    </w:div>
    <w:div w:id="1133786487">
      <w:bodyDiv w:val="1"/>
      <w:marLeft w:val="0"/>
      <w:marRight w:val="0"/>
      <w:marTop w:val="0"/>
      <w:marBottom w:val="0"/>
      <w:divBdr>
        <w:top w:val="none" w:sz="0" w:space="0" w:color="auto"/>
        <w:left w:val="none" w:sz="0" w:space="0" w:color="auto"/>
        <w:bottom w:val="none" w:sz="0" w:space="0" w:color="auto"/>
        <w:right w:val="none" w:sz="0" w:space="0" w:color="auto"/>
      </w:divBdr>
    </w:div>
    <w:div w:id="1183393454">
      <w:bodyDiv w:val="1"/>
      <w:marLeft w:val="0"/>
      <w:marRight w:val="0"/>
      <w:marTop w:val="0"/>
      <w:marBottom w:val="0"/>
      <w:divBdr>
        <w:top w:val="none" w:sz="0" w:space="0" w:color="auto"/>
        <w:left w:val="none" w:sz="0" w:space="0" w:color="auto"/>
        <w:bottom w:val="none" w:sz="0" w:space="0" w:color="auto"/>
        <w:right w:val="none" w:sz="0" w:space="0" w:color="auto"/>
      </w:divBdr>
    </w:div>
    <w:div w:id="1413551840">
      <w:bodyDiv w:val="1"/>
      <w:marLeft w:val="0"/>
      <w:marRight w:val="0"/>
      <w:marTop w:val="0"/>
      <w:marBottom w:val="0"/>
      <w:divBdr>
        <w:top w:val="none" w:sz="0" w:space="0" w:color="auto"/>
        <w:left w:val="none" w:sz="0" w:space="0" w:color="auto"/>
        <w:bottom w:val="none" w:sz="0" w:space="0" w:color="auto"/>
        <w:right w:val="none" w:sz="0" w:space="0" w:color="auto"/>
      </w:divBdr>
    </w:div>
    <w:div w:id="1434785516">
      <w:bodyDiv w:val="1"/>
      <w:marLeft w:val="0"/>
      <w:marRight w:val="0"/>
      <w:marTop w:val="0"/>
      <w:marBottom w:val="0"/>
      <w:divBdr>
        <w:top w:val="none" w:sz="0" w:space="0" w:color="auto"/>
        <w:left w:val="none" w:sz="0" w:space="0" w:color="auto"/>
        <w:bottom w:val="none" w:sz="0" w:space="0" w:color="auto"/>
        <w:right w:val="none" w:sz="0" w:space="0" w:color="auto"/>
      </w:divBdr>
    </w:div>
    <w:div w:id="1444231569">
      <w:bodyDiv w:val="1"/>
      <w:marLeft w:val="0"/>
      <w:marRight w:val="0"/>
      <w:marTop w:val="0"/>
      <w:marBottom w:val="0"/>
      <w:divBdr>
        <w:top w:val="none" w:sz="0" w:space="0" w:color="auto"/>
        <w:left w:val="none" w:sz="0" w:space="0" w:color="auto"/>
        <w:bottom w:val="none" w:sz="0" w:space="0" w:color="auto"/>
        <w:right w:val="none" w:sz="0" w:space="0" w:color="auto"/>
      </w:divBdr>
    </w:div>
    <w:div w:id="1519932781">
      <w:bodyDiv w:val="1"/>
      <w:marLeft w:val="0"/>
      <w:marRight w:val="0"/>
      <w:marTop w:val="0"/>
      <w:marBottom w:val="0"/>
      <w:divBdr>
        <w:top w:val="none" w:sz="0" w:space="0" w:color="auto"/>
        <w:left w:val="none" w:sz="0" w:space="0" w:color="auto"/>
        <w:bottom w:val="none" w:sz="0" w:space="0" w:color="auto"/>
        <w:right w:val="none" w:sz="0" w:space="0" w:color="auto"/>
      </w:divBdr>
    </w:div>
    <w:div w:id="1778911992">
      <w:bodyDiv w:val="1"/>
      <w:marLeft w:val="0"/>
      <w:marRight w:val="0"/>
      <w:marTop w:val="0"/>
      <w:marBottom w:val="0"/>
      <w:divBdr>
        <w:top w:val="none" w:sz="0" w:space="0" w:color="auto"/>
        <w:left w:val="none" w:sz="0" w:space="0" w:color="auto"/>
        <w:bottom w:val="none" w:sz="0" w:space="0" w:color="auto"/>
        <w:right w:val="none" w:sz="0" w:space="0" w:color="auto"/>
      </w:divBdr>
    </w:div>
    <w:div w:id="184781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who.int/news/item/17-10-2025-world-no-tobacco-day-2026--unmasking-the-appeal---countering-nicotine-and-tobacco-addiction" TargetMode="External"/><Relationship Id="rId3" Type="http://schemas.openxmlformats.org/officeDocument/2006/relationships/hyperlink" Target="https://exposetobacco.org/campaigns/tobacco-nicotine-menu-of-addiction/" TargetMode="External"/><Relationship Id="rId7" Type="http://schemas.openxmlformats.org/officeDocument/2006/relationships/hyperlink" Target="https://exposetobacco.org/resource/lights-camera-addiction/" TargetMode="External"/><Relationship Id="rId2" Type="http://schemas.openxmlformats.org/officeDocument/2006/relationships/hyperlink" Target="https://www.who.int/news/item/17-10-2025-world-no-tobacco-day-2026--unmasking-the-appeal---countering-nicotine-and-tobacco-addiction" TargetMode="External"/><Relationship Id="rId1" Type="http://schemas.openxmlformats.org/officeDocument/2006/relationships/hyperlink" Target="https://www.who.int/news/item/17-10-2025-world-no-tobacco-day-2026--unmasking-the-appeal---countering-nicotine-and-tobacco-addiction" TargetMode="External"/><Relationship Id="rId6" Type="http://schemas.openxmlformats.org/officeDocument/2006/relationships/hyperlink" Target="https://exposetobacco.org/news/50-years-of-using-f1-to-sell-addiction/" TargetMode="External"/><Relationship Id="rId11" Type="http://schemas.openxmlformats.org/officeDocument/2006/relationships/hyperlink" Target="https://tobaccocontrol.bmj.com/content/31/Suppl_2/s146" TargetMode="External"/><Relationship Id="rId5" Type="http://schemas.openxmlformats.org/officeDocument/2006/relationships/hyperlink" Target="https://exposetobacco.org/news/the-reality-behind-pmis-transformation-narrative/" TargetMode="External"/><Relationship Id="rId10" Type="http://schemas.openxmlformats.org/officeDocument/2006/relationships/hyperlink" Target="https://www.who.int/vietnam/news/commentaries/detail/align-tobacco-tax-with-viet-nam-s-goals-for-health-and-prosperity--urges-who" TargetMode="External"/><Relationship Id="rId4" Type="http://schemas.openxmlformats.org/officeDocument/2006/relationships/hyperlink" Target="https://www.tobaccotactics.org/article/architects-of-addiction-how-industry-designs-products-to-be-appealing-and-addictive/" TargetMode="External"/><Relationship Id="rId9" Type="http://schemas.openxmlformats.org/officeDocument/2006/relationships/hyperlink" Target="https://exposetobacco.org/wp-content/uploads/Behind_Closed_Doors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1E543-A752-4EE2-806A-9FD5B7A85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2622</Words>
  <Characters>14952</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45</cp:revision>
  <cp:lastPrinted>2026-04-22T07:28:00Z</cp:lastPrinted>
  <dcterms:created xsi:type="dcterms:W3CDTF">2026-05-06T09:35:00Z</dcterms:created>
  <dcterms:modified xsi:type="dcterms:W3CDTF">2026-05-07T09:01:00Z</dcterms:modified>
</cp:coreProperties>
</file>